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87S30599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and 55.17991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Tarleton State University, $63 million for construction of a College of Health Sciences and Human Services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A&amp;M University, $175 million for construction of a veterinary clinical research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University--Commerce, $95 million for construction of an agricultural education and research complex;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 at Galveston, $40.5 million for construction of an engineering classroom and research building;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University--Kingsville, $60 million to address deferred maintenance;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West Texas A&amp;M University, $33,353,000 for repairs and renovations to nine buildings to address health and safety issues identified in the state fire marshal's report;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million for construction of the Texas Medical Center Building 3 in Houston,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$36 million for construction of a nursing education and research center in McAllen,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$120,600,000 for renovation of the Life Science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$90 million for renovation of the Physics, Math, and Astronomy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$76.5 million for construction of a student success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Permian Basin, $63 million for renovation of the Mesa Building and campus transformation;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Texas--Rio Grande Valley, $68,400,000 for construction of a health affairs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at Tyler, $68,400,000 for construction of a sciences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Health Science Center at Houston, $90 million for construction of a public health education and research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Health Science Center at San Antonio, $99 million for construction of the Institute for Alzheimer's &amp; Neurodegenerative Diseases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Tyler, $63 million for construction of a health professions education center;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M. D. Anderson Cancer Center, $90 million for construction of a life sciences research, innovation, and discovery initiative facility;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Southwestern Medical Center at Dallas, $90,144,468 for construction of the north campus Phase VI Brain Institute shell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$92,250,000 for construction of the Katy Academic Building 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 $39,513,206 for renovation of the Hobby School of Public Affairs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Houston--Victoria: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$33,825,000 for construction of a health science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$39,975,000 for construction of an engineering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$10 million for the construction of the Police Department and Criminal Justice Academy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State College--Orange, $42 million for the replacement of an academic building to house general academic instruction and information technology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College--Port Arthur, $55 million for construction of an allied health and sciences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Institute of Technology, $48 million for construction of a facility for workforce and allied health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University, $88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$126 million for construction of a science and technology research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$85 million for construction of a commerce, analytics, technology, and engineering building in Frisco,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$163 million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$42 million for renovation of four buildings.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w:t>
      </w:r>
      <w:r>
        <w:rPr>
          <w:u w:val="single"/>
        </w:rPr>
        <w:t xml:space="preserve"> </w:t>
      </w:r>
      <w:r>
        <w:rPr>
          <w:u w:val="single"/>
        </w:rPr>
        <w:t xml:space="preserve">demolition of the Miller Science Building, renovation of the Forestry Building, and construction of a new addition, to be financed through the issuance of bonds in accordance with this subchapter, not to exceed the aggregate principal amount of $53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Tech University, $72 million for renovations and maintenance for campus buildings;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Midwestern State University, $41 million for renovation of an existing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 $90 million for maintenance and renovation of an existing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$163,080,000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$22,800,000 for renovation of an existing research labs building;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$59 million for construction of a student housing and multipurpose conference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$33,300,000 for the East Williamson County Higher Education Center expansion;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Fort Bend County campus expansion;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Harlingen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