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87S30841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preferred provider benefit plan reimbursement of certain services provided by out-of-network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1301.069,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1301.069.</w:t>
      </w:r>
      <w:r xml:space="preserve">
        <w:t> </w:t>
      </w:r>
      <w:r xml:space="preserve">
        <w:t> </w:t>
      </w:r>
      <w:r>
        <w:t xml:space="preserve">SERVICES PROVIDED BY CERTAIN PHYSICIANS AND HEALTH CARE PROVIDERS.  </w:t>
      </w:r>
      <w:r>
        <w:rPr>
          <w:u w:val="single"/>
        </w:rPr>
        <w:t xml:space="preserve">(a)</w:t>
      </w:r>
      <w:r>
        <w:t xml:space="preserve">  The provisions of this chapter relating to prompt payment by an insurer of a physician or health care provider and to verification of medical care or health care services apply to a physician or provider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not a preferred provider included in the preferred provider network;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provides to an insured: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care related to an emergency or its attendant episode of care as required by state or federal law;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specialty or other medical care or health care services at the request of the insurer or a preferred provider because the services are not reasonably available from a preferred provider who is included in the preferred delivery network.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reimbursing a physician or health care provider who is not a preferred provider included in the preferred provider network for services provided to an insured under Subsection (a)(2)(B) after the physician or provider received a waiver from the insurer to provide the services to the insured, the insurer: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base the reimbursement to the physician or provider on the insurer's usual and customary rate;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reimburse the physician or provider at the physician's or provider's specialty rate in accordance with the physician's or provider's expertise, experience, and rate history.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health benefit plan delivered, issued for delivery, or renewed on or after June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