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H.J.R.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provide for a credit against the ad valorem taxes imposed on property owned by a person who makes a donation to the state for the purpose of border security and to provide for the reimbursement of political subdivisions for the revenue loss incurred as a result of the credit.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1-q.</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provide that a person who makes a donation to the state for the purpose of border security is entitled to a credit against the ad valorem taxes imposed on property that the person owns in an amount equal to the lesser of the amount of the donation or the amount of taxes imposed.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prescribe eligibility requirements for the tax credit authorized by this section and may provide formulas for determining the manner in which the credit is allocated among the political subdivisions that impose a tax on the person's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constitution, the legislature by general law may authorize the use of state money to reimburse a political subdivision for the revenue loss incurred as a result of the tax credit authorized by this section and shall provide a procedure for distributing the money appropriated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to authorize the legislature to provide for a credit against the ad valorem taxes imposed on property owned by a person who makes a donation to the state for the purpose of border security and to provide for the reimbursement of political subdivisions for the revenue loss incurred as a result of the credit."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