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87S30387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on property on which a solar energy device has been installed based on the cost of acquiring and installing the device.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(a)  The legislature by general law may provide for a credit against the ad valorem taxes on property on which a solar energy device has been installed based on the cost incurred by the property owner in acquiring and installing the device.  The general law may provide formulas for computing the amount of the credit a property owner may receive in a tax year and may impose a limitation on the number of tax years for which the property owner may receive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authorized by general law enacted under this section is in addition to any exemption from ad valorem taxation applicable to a solar energy device authorized by a general law enacted under Section 2(a)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authorize the legislature to provide for a credit against the ad valorem taxes imposed on property on which a solar energy device has been installed based on the cost of acquiring and installing the device."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