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87S31539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 Hall has been a leader in the fight for social justice for members of the LGBTQIA+ communities in Texas, and their efforts have made a positive difference in numerous lives;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Clear Lake, Ash earned a bachelor's degree in psychology with a minor in women's and gender studies from The University of Texas at Austin, where they participated in a queer student-advocacy group; they went on to help with campaigns for pro-equality candidates, including former Houston Mayor Annise Parker and State Representative Celia Israel, and they have testified before Texas legislative committees to defend the rights of LGBTQIA+ Texans;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Ash has set an inspiring example of civic engagement, serving as a political manager for the LGBTQ Victory Fund in Washington, D.C., a legislative fellow and government relations manager at Equality Texas, a congressional intern in the office of Congresswoman Nancy Pelosi, and a content manager for the Texas Civil Rights Project; in addition, they have served as a Democratic precinct chair and a policy advocate;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myriad endeavors, Ash Hall has helped further inclusion and equality in the Lone Star State, and they may indeed reflect with pride on their many noteworthy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Ash Hall for working in behalf of the LGBTQIA+ communities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Ash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