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87S30961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w:t>
      </w:r>
    </w:p>
    <w:p w:rsidR="003F3435" w:rsidRDefault="0032493E">
      <w:pPr>
        <w:ind w:firstLine="720"/>
        <w:jc w:val="both"/>
      </w:pPr>
      <w:r>
        <w:t xml:space="preserve">(Meyer)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direct relief from ad valorem taxes to certain property owners in this state through the distribution of certain federal economic assistance money received by the state and a study of the provision of additional ad valorem tax relief;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"COVID-19" means the 2019 novel coronavirus disease.</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widespread effects of COVID-19 in this state have resulted in a state of disaster being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COVID-19 is a public calamity for the purposes of Section 51, Article III, Texas Constitution;</w:t>
      </w:r>
    </w:p>
    <w:p w:rsidR="003F3435" w:rsidRDefault="0032493E">
      <w:pPr>
        <w:spacing w:line="480" w:lineRule="auto"/>
        <w:ind w:firstLine="1440"/>
        <w:jc w:val="both"/>
      </w:pPr>
      <w:r>
        <w:t xml:space="preserve">(3)</w:t>
      </w:r>
      <w:r xml:space="preserve">
        <w:t> </w:t>
      </w:r>
      <w:r xml:space="preserve">
        <w:t> </w:t>
      </w:r>
      <w:r>
        <w:t xml:space="preserve">as part of the American Rescue Plan Act of 2021 (Pub. L. No.</w:t>
      </w:r>
      <w:r xml:space="preserve">
        <w:t> </w:t>
      </w:r>
      <w:r>
        <w:t xml:space="preserve">117-2), the United States Congress established the Coronavirus State Fiscal Recovery Fund (42 U.S.C. Section 802) for the purpose of providing money to the states for certain purposes, including "to respond to the public health emergency with respect to the Coronavirus Disease 2019 (COVID-19) or its negative economic impacts, including assistance to households";</w:t>
      </w:r>
    </w:p>
    <w:p w:rsidR="003F3435" w:rsidRDefault="0032493E">
      <w:pPr>
        <w:spacing w:line="480" w:lineRule="auto"/>
        <w:ind w:firstLine="1440"/>
        <w:jc w:val="both"/>
      </w:pPr>
      <w:r>
        <w:t xml:space="preserve">(4)</w:t>
      </w:r>
      <w:r xml:space="preserve">
        <w:t> </w:t>
      </w:r>
      <w:r xml:space="preserve">
        <w:t> </w:t>
      </w:r>
      <w:r>
        <w:t xml:space="preserve">ad valorem taxes imposed on households in this state are especially burdensome for this state's residents and the negative economic effects of COVID-19 have made it difficult for local governments to reduce the ad valorem tax burden; and</w:t>
      </w:r>
    </w:p>
    <w:p w:rsidR="003F3435" w:rsidRDefault="0032493E">
      <w:pPr>
        <w:spacing w:line="480" w:lineRule="auto"/>
        <w:ind w:firstLine="1440"/>
        <w:jc w:val="both"/>
      </w:pPr>
      <w:r>
        <w:t xml:space="preserve">(5)</w:t>
      </w:r>
      <w:r xml:space="preserve">
        <w:t> </w:t>
      </w:r>
      <w:r xml:space="preserve">
        <w:t> </w:t>
      </w:r>
      <w:r>
        <w:t xml:space="preserve">previous state COVID-19 relief efforts have not adequately addressed the additional burden ad valorem taxes have imposed on households living in residence homesteads during the COVID-19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403, Government Code, is amended by adding Section 403.03059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403.03059.</w:t>
      </w:r>
      <w:r>
        <w:rPr>
          <w:u w:val="single"/>
        </w:rPr>
        <w:t xml:space="preserve"> </w:t>
      </w:r>
      <w:r>
        <w:rPr>
          <w:u w:val="single"/>
        </w:rPr>
        <w:t xml:space="preserve"> </w:t>
      </w:r>
      <w:r>
        <w:rPr>
          <w:u w:val="single"/>
        </w:rPr>
        <w:t xml:space="preserve">AUTHORIZATION TO DISTRIBUTE CERTAIN FEDERAL ECONOMIC ASSISTANCE MONEY TO CERTAIN HOMEOWNERS.  (a)  The purpose of this section is to provide assistance to households in this state in response to the negative economic effects of the COVID-19 public health emergency by providing direct relief from ad valorem taxes to eligible property owners.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"eligible property owner" means a person who, as of May 1, 2022, owns property for which the person receives an exemption under Section 11.13,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not later than September 1, 2022, or as soon thereafter as practicable, the comptroller shall issue a warrant to each eligible property owner in the amount calculated under Subsection (d) that is payable from money appropriated to the comptroller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the amount of the warrant to which each eligible property owner is entitled by dividing the total amount of money appropriated to the comptroller for the purposes of this section by the total number of eligible property owners.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by the comptroller, each appraisal district shall, not later than July 1, 2022, submit to the comptroller, in an electronic format specified by the comptroller, any information determined by the comptroller to be necessary to identify eligible property owners for purposes of this section.  This state and the comptroller are not liable for an error in the information provided to the comptroller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403.055 and 403.0551 of this code and Section 1.111(f), Tax Code, do not apply to a warrant issued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information provided by an appraisal district to the comptroller under Subsection (e) is confidential and excepted from the requirements of Section 552.021.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who is not an eligible property owner, including an eligible property owner's agent or mortgage servicer, receives a payment issued under this section that is intended for an eligible property owner, the person shall forward the full amount of the payment, as well as any information that accompanied the payment, to the eligible property owner as soon as practicable.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for the administration of this section, including rules prescribing procedures to prevent warrant fraud.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 "committee" means the joint interim committee on property tax relief.</w:t>
      </w:r>
    </w:p>
    <w:p w:rsidR="003F3435" w:rsidRDefault="0032493E">
      <w:pPr>
        <w:spacing w:line="480" w:lineRule="auto"/>
        <w:ind w:firstLine="720"/>
        <w:jc w:val="both"/>
      </w:pPr>
      <w:r>
        <w:t xml:space="preserve">(b)</w:t>
      </w:r>
      <w:r xml:space="preserve">
        <w:t> </w:t>
      </w:r>
      <w:r xml:space="preserve">
        <w:t> </w:t>
      </w:r>
      <w:r>
        <w:t xml:space="preserve">The committee is established for the purpose of:</w:t>
      </w:r>
    </w:p>
    <w:p w:rsidR="003F3435" w:rsidRDefault="0032493E">
      <w:pPr>
        <w:spacing w:line="480" w:lineRule="auto"/>
        <w:ind w:firstLine="1440"/>
        <w:jc w:val="both"/>
      </w:pPr>
      <w:r>
        <w:t xml:space="preserve">(1)</w:t>
      </w:r>
      <w:r xml:space="preserve">
        <w:t> </w:t>
      </w:r>
      <w:r xml:space="preserve">
        <w:t> </w:t>
      </w:r>
      <w:r>
        <w:t xml:space="preserve">conducting the study required under Subsection (h) of this section; and</w:t>
      </w:r>
    </w:p>
    <w:p w:rsidR="003F3435" w:rsidRDefault="0032493E">
      <w:pPr>
        <w:spacing w:line="480" w:lineRule="auto"/>
        <w:ind w:firstLine="1440"/>
        <w:jc w:val="both"/>
      </w:pPr>
      <w:r>
        <w:t xml:space="preserve">(2)</w:t>
      </w:r>
      <w:r xml:space="preserve">
        <w:t> </w:t>
      </w:r>
      <w:r xml:space="preserve">
        <w:t> </w:t>
      </w:r>
      <w:r>
        <w:t xml:space="preserve">reporting the committee's findings to the legislature under Subsection (j) of this section.</w:t>
      </w:r>
    </w:p>
    <w:p w:rsidR="003F3435" w:rsidRDefault="0032493E">
      <w:pPr>
        <w:spacing w:line="480" w:lineRule="auto"/>
        <w:ind w:firstLine="720"/>
        <w:jc w:val="both"/>
      </w:pPr>
      <w:r>
        <w:t xml:space="preserve">(c)</w:t>
      </w:r>
      <w:r xml:space="preserve">
        <w:t> </w:t>
      </w:r>
      <w:r xml:space="preserve">
        <w:t> </w:t>
      </w:r>
      <w:r>
        <w:t xml:space="preserve">The committee is composed of 10 members as follows:</w:t>
      </w:r>
    </w:p>
    <w:p w:rsidR="003F3435" w:rsidRDefault="0032493E">
      <w:pPr>
        <w:spacing w:line="480" w:lineRule="auto"/>
        <w:ind w:firstLine="1440"/>
        <w:jc w:val="both"/>
      </w:pPr>
      <w:r>
        <w:t xml:space="preserve">(1)</w:t>
      </w:r>
      <w:r xml:space="preserve">
        <w:t> </w:t>
      </w:r>
      <w:r xml:space="preserve">
        <w:t> </w:t>
      </w:r>
      <w:r>
        <w:t xml:space="preserve">the chair of the senate committee on finance;</w:t>
      </w:r>
    </w:p>
    <w:p w:rsidR="003F3435" w:rsidRDefault="0032493E">
      <w:pPr>
        <w:spacing w:line="480" w:lineRule="auto"/>
        <w:ind w:firstLine="1440"/>
        <w:jc w:val="both"/>
      </w:pPr>
      <w:r>
        <w:t xml:space="preserve">(2)</w:t>
      </w:r>
      <w:r xml:space="preserve">
        <w:t> </w:t>
      </w:r>
      <w:r xml:space="preserve">
        <w:t> </w:t>
      </w:r>
      <w:r>
        <w:t xml:space="preserve">the chair of the senate committee on local government;</w:t>
      </w:r>
    </w:p>
    <w:p w:rsidR="003F3435" w:rsidRDefault="0032493E">
      <w:pPr>
        <w:spacing w:line="480" w:lineRule="auto"/>
        <w:ind w:firstLine="1440"/>
        <w:jc w:val="both"/>
      </w:pPr>
      <w:r>
        <w:t xml:space="preserve">(3)</w:t>
      </w:r>
      <w:r xml:space="preserve">
        <w:t> </w:t>
      </w:r>
      <w:r xml:space="preserve">
        <w:t> </w:t>
      </w:r>
      <w:r>
        <w:t xml:space="preserve">the chair of the senate committee on education;</w:t>
      </w:r>
    </w:p>
    <w:p w:rsidR="003F3435" w:rsidRDefault="0032493E">
      <w:pPr>
        <w:spacing w:line="480" w:lineRule="auto"/>
        <w:ind w:firstLine="1440"/>
        <w:jc w:val="both"/>
      </w:pPr>
      <w:r>
        <w:t xml:space="preserve">(4)</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(5)</w:t>
      </w:r>
      <w:r xml:space="preserve">
        <w:t> </w:t>
      </w:r>
      <w:r xml:space="preserve">
        <w:t> </w:t>
      </w:r>
      <w:r>
        <w:t xml:space="preserve">the chair of the house committee on appropriations;</w:t>
      </w:r>
    </w:p>
    <w:p w:rsidR="003F3435" w:rsidRDefault="0032493E">
      <w:pPr>
        <w:spacing w:line="480" w:lineRule="auto"/>
        <w:ind w:firstLine="1440"/>
        <w:jc w:val="both"/>
      </w:pPr>
      <w:r>
        <w:t xml:space="preserve">(6)</w:t>
      </w:r>
      <w:r xml:space="preserve">
        <w:t> </w:t>
      </w:r>
      <w:r xml:space="preserve">
        <w:t> </w:t>
      </w:r>
      <w:r>
        <w:t xml:space="preserve">the chair of the house committee on ways and means;</w:t>
      </w:r>
    </w:p>
    <w:p w:rsidR="003F3435" w:rsidRDefault="0032493E">
      <w:pPr>
        <w:spacing w:line="480" w:lineRule="auto"/>
        <w:ind w:firstLine="1440"/>
        <w:jc w:val="both"/>
      </w:pPr>
      <w:r>
        <w:t xml:space="preserve">(7)</w:t>
      </w:r>
      <w:r xml:space="preserve">
        <w:t> </w:t>
      </w:r>
      <w:r xml:space="preserve">
        <w:t> </w:t>
      </w:r>
      <w:r>
        <w:t xml:space="preserve">the chair of the house committee on public education; and</w:t>
      </w:r>
    </w:p>
    <w:p w:rsidR="003F3435" w:rsidRDefault="0032493E">
      <w:pPr>
        <w:spacing w:line="480" w:lineRule="auto"/>
        <w:ind w:firstLine="1440"/>
        <w:jc w:val="both"/>
      </w:pPr>
      <w:r>
        <w:t xml:space="preserve">(8)</w:t>
      </w:r>
      <w:r xml:space="preserve">
        <w:t> </w:t>
      </w:r>
      <w:r xml:space="preserve">
        <w:t> </w:t>
      </w:r>
      <w:r>
        <w:t xml:space="preserve">two members of the house of representatives appointed by the speaker of the house of representatives.</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The lieutenant governor shall appoint a co-chair of the committee from the members described by Subsections (c)(1)-(4) of this section, and the speaker of the house of representatives shall appoint a co-chair of the committee from the members described by Subsections (c)(5)-(8) of this section.</w:t>
      </w:r>
    </w:p>
    <w:p w:rsidR="003F3435" w:rsidRDefault="0032493E">
      <w:pPr>
        <w:spacing w:line="480" w:lineRule="auto"/>
        <w:ind w:firstLine="720"/>
        <w:jc w:val="both"/>
      </w:pPr>
      <w:r>
        <w:t xml:space="preserve">(e)</w:t>
      </w:r>
      <w:r xml:space="preserve">
        <w:t> </w:t>
      </w:r>
      <w:r xml:space="preserve">
        <w:t> </w:t>
      </w:r>
      <w:r>
        <w:t xml:space="preserve">The lieutenant governor and the speaker of the house of representatives shall make the appointments required under Subsections (c) and (d) of this section not later than the 60th day after the effective date of this Act.</w:t>
      </w:r>
    </w:p>
    <w:p w:rsidR="003F3435" w:rsidRDefault="0032493E">
      <w:pPr>
        <w:spacing w:line="480" w:lineRule="auto"/>
        <w:ind w:firstLine="720"/>
        <w:jc w:val="both"/>
      </w:pPr>
      <w:r>
        <w:t xml:space="preserve">(f)</w:t>
      </w:r>
      <w:r xml:space="preserve">
        <w:t> </w:t>
      </w:r>
      <w:r xml:space="preserve">
        <w:t> </w:t>
      </w:r>
      <w:r>
        <w:t xml:space="preserve">The committee shall meet at the joint call of the co-chairs.</w:t>
      </w:r>
    </w:p>
    <w:p w:rsidR="003F3435" w:rsidRDefault="0032493E">
      <w:pPr>
        <w:spacing w:line="480" w:lineRule="auto"/>
        <w:ind w:firstLine="720"/>
        <w:jc w:val="both"/>
      </w:pPr>
      <w:r>
        <w:t xml:space="preserve">(g)</w:t>
      </w:r>
      <w:r xml:space="preserve">
        <w:t> </w:t>
      </w:r>
      <w:r xml:space="preserve">
        <w:t> </w:t>
      </w:r>
      <w:r>
        <w:t xml:space="preserve">The committee has all other powers and duties provided to a special committee by:</w:t>
      </w:r>
    </w:p>
    <w:p w:rsidR="003F3435" w:rsidRDefault="0032493E">
      <w:pPr>
        <w:spacing w:line="480" w:lineRule="auto"/>
        <w:ind w:firstLine="1440"/>
        <w:jc w:val="both"/>
      </w:pPr>
      <w:r>
        <w:t xml:space="preserve">(1)</w:t>
      </w:r>
      <w:r xml:space="preserve">
        <w:t> </w:t>
      </w:r>
      <w:r xml:space="preserve">
        <w:t> </w:t>
      </w:r>
      <w:r>
        <w:t xml:space="preserve">Subchapter B, Chapter 301, Government Code;</w:t>
      </w:r>
    </w:p>
    <w:p w:rsidR="003F3435" w:rsidRDefault="0032493E">
      <w:pPr>
        <w:spacing w:line="480" w:lineRule="auto"/>
        <w:ind w:firstLine="1440"/>
        <w:jc w:val="both"/>
      </w:pPr>
      <w:r>
        <w:t xml:space="preserve">(2)</w:t>
      </w:r>
      <w:r xml:space="preserve">
        <w:t> </w:t>
      </w:r>
      <w:r xml:space="preserve">
        <w:t> </w:t>
      </w:r>
      <w:r>
        <w:t xml:space="preserve">the rules of the senate and house of representatives; and</w:t>
      </w:r>
    </w:p>
    <w:p w:rsidR="003F3435" w:rsidRDefault="0032493E">
      <w:pPr>
        <w:spacing w:line="480" w:lineRule="auto"/>
        <w:ind w:firstLine="1440"/>
        <w:jc w:val="both"/>
      </w:pPr>
      <w:r>
        <w:t xml:space="preserve">(3)</w:t>
      </w:r>
      <w:r xml:space="preserve">
        <w:t> </w:t>
      </w:r>
      <w:r xml:space="preserve">
        <w:t> </w:t>
      </w:r>
      <w:r>
        <w:t xml:space="preserve">the policies of the senate and house committees on administration.</w:t>
      </w:r>
    </w:p>
    <w:p w:rsidR="003F3435" w:rsidRDefault="0032493E">
      <w:pPr>
        <w:spacing w:line="480" w:lineRule="auto"/>
        <w:ind w:firstLine="720"/>
        <w:jc w:val="both"/>
      </w:pPr>
      <w:r>
        <w:t xml:space="preserve">(h)</w:t>
      </w:r>
      <w:r xml:space="preserve">
        <w:t> </w:t>
      </w:r>
      <w:r xml:space="preserve">
        <w:t> </w:t>
      </w:r>
      <w:r>
        <w:t xml:space="preserve">The committee shall study matters relating to the burdens on property owners imposed by the current ad valorem tax structure in this state and identify potential solutions to reduce those burdens.</w:t>
      </w:r>
    </w:p>
    <w:p w:rsidR="003F3435" w:rsidRDefault="0032493E">
      <w:pPr>
        <w:spacing w:line="480" w:lineRule="auto"/>
        <w:ind w:firstLine="720"/>
        <w:jc w:val="both"/>
      </w:pPr>
      <w:r>
        <w:t xml:space="preserve">(i)</w:t>
      </w:r>
      <w:r xml:space="preserve">
        <w:t> </w:t>
      </w:r>
      <w:r xml:space="preserve">
        <w:t> </w:t>
      </w:r>
      <w:r>
        <w:t xml:space="preserve">The comptroller of public accounts and the Legislative Budget Board shall provide information to the committee necessary to conduct the study required under Subsection (h) of this section.</w:t>
      </w:r>
    </w:p>
    <w:p w:rsidR="003F3435" w:rsidRDefault="0032493E">
      <w:pPr>
        <w:spacing w:line="480" w:lineRule="auto"/>
        <w:ind w:firstLine="720"/>
        <w:jc w:val="both"/>
      </w:pPr>
      <w:r>
        <w:t xml:space="preserve">(j)</w:t>
      </w:r>
      <w:r xml:space="preserve">
        <w:t> </w:t>
      </w:r>
      <w:r xml:space="preserve">
        <w:t> </w:t>
      </w:r>
      <w:r>
        <w:t xml:space="preserve">Not later than December 1, 2022, the committee shall:</w:t>
      </w:r>
    </w:p>
    <w:p w:rsidR="003F3435" w:rsidRDefault="0032493E">
      <w:pPr>
        <w:spacing w:line="480" w:lineRule="auto"/>
        <w:ind w:firstLine="1440"/>
        <w:jc w:val="both"/>
      </w:pPr>
      <w:r>
        <w:t xml:space="preserve">(1)</w:t>
      </w:r>
      <w:r xml:space="preserve">
        <w:t> </w:t>
      </w:r>
      <w:r xml:space="preserve">
        <w:t> </w:t>
      </w:r>
      <w:r>
        <w:t xml:space="preserve">prepare a written report of the committee's findings, including recommendations for legislation; and</w:t>
      </w:r>
    </w:p>
    <w:p w:rsidR="003F3435" w:rsidRDefault="0032493E">
      <w:pPr>
        <w:spacing w:line="480" w:lineRule="auto"/>
        <w:ind w:firstLine="1440"/>
        <w:jc w:val="both"/>
      </w:pPr>
      <w:r>
        <w:t xml:space="preserve">(2)</w:t>
      </w:r>
      <w:r xml:space="preserve">
        <w:t> </w:t>
      </w:r>
      <w:r xml:space="preserve">
        <w:t> </w:t>
      </w:r>
      <w:r>
        <w:t xml:space="preserve">submit the report described by Subdivision (1) of this subsection to the legislature.</w:t>
      </w:r>
    </w:p>
    <w:p w:rsidR="003F3435" w:rsidRDefault="0032493E">
      <w:pPr>
        <w:spacing w:line="480" w:lineRule="auto"/>
        <w:ind w:firstLine="720"/>
        <w:jc w:val="both"/>
      </w:pPr>
      <w:r>
        <w:t xml:space="preserve">(k)</w:t>
      </w:r>
      <w:r xml:space="preserve">
        <w:t> </w:t>
      </w:r>
      <w:r xml:space="preserve">
        <w:t> </w:t>
      </w:r>
      <w:r>
        <w:t xml:space="preserve">The committee is abolished and this section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amount of $3,000,000,000 is appropriated to the comptroller of public accounts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making the payments required by Section 403.03059, Government Code, as added by this Act, during the period beginning on the effective date of this Act and ending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