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64.012(b), Election Code, as effective December 2, 2021,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 the person is convicted of an attempt. In that case, the offense is a 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