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effect of a change to the period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secretary of state shall conduct a</w:t>
      </w:r>
    </w:p>
    <w:p w:rsidR="003F3435" w:rsidRDefault="0032493E">
      <w:pPr>
        <w:spacing w:line="480" w:lineRule="auto"/>
        <w:jc w:val="both"/>
      </w:pPr>
      <w:r>
        <w:t xml:space="preserve">study regarding the practical effects of eliminating the gap between the early voting period for an election and election day and providing for the conduct of elections with a single election period.</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best practices and policies of states that conduct elections with a single election period;</w:t>
      </w:r>
    </w:p>
    <w:p w:rsidR="003F3435" w:rsidRDefault="0032493E">
      <w:pPr>
        <w:spacing w:line="480" w:lineRule="auto"/>
        <w:ind w:firstLine="1440"/>
        <w:jc w:val="both"/>
      </w:pPr>
      <w:r>
        <w:t xml:space="preserve">(2)</w:t>
      </w:r>
      <w:r xml:space="preserve">
        <w:t> </w:t>
      </w:r>
      <w:r xml:space="preserve">
        <w:t> </w:t>
      </w:r>
      <w:r>
        <w:t xml:space="preserve">a cost-benefit analysis comparing the use of hand marked paper ballots, ballot marking devices, and direct recording electronic voting machines in elections with a single election period;</w:t>
      </w:r>
    </w:p>
    <w:p w:rsidR="003F3435" w:rsidRDefault="0032493E">
      <w:pPr>
        <w:spacing w:line="480" w:lineRule="auto"/>
        <w:ind w:firstLine="1440"/>
        <w:jc w:val="both"/>
      </w:pPr>
      <w:r>
        <w:t xml:space="preserve">(3)</w:t>
      </w:r>
      <w:r xml:space="preserve">
        <w:t> </w:t>
      </w:r>
      <w:r xml:space="preserve">
        <w:t> </w:t>
      </w:r>
      <w:r>
        <w:t xml:space="preserve">comparison of the estimated costs of conducting elections with a single election period versus the costs of conducting elections with a gap between the early voting period for the election and election day; and</w:t>
      </w:r>
    </w:p>
    <w:p w:rsidR="003F3435" w:rsidRDefault="0032493E">
      <w:pPr>
        <w:spacing w:line="480" w:lineRule="auto"/>
        <w:ind w:firstLine="1440"/>
        <w:jc w:val="both"/>
      </w:pPr>
      <w:r>
        <w:t xml:space="preserve">(4)</w:t>
      </w:r>
      <w:r xml:space="preserve">
        <w:t> </w:t>
      </w:r>
      <w:r xml:space="preserve">
        <w:t> </w:t>
      </w:r>
      <w:r>
        <w:t xml:space="preserve">recommended statutory language for implementing the conduct of elections with a single election period.</w:t>
      </w:r>
    </w:p>
    <w:p w:rsidR="003F3435" w:rsidRDefault="0032493E">
      <w:pPr>
        <w:spacing w:line="480" w:lineRule="auto"/>
        <w:ind w:firstLine="720"/>
        <w:jc w:val="both"/>
      </w:pPr>
      <w:r>
        <w:t xml:space="preserve">(c)</w:t>
      </w:r>
      <w:r xml:space="preserve">
        <w:t> </w:t>
      </w:r>
      <w:r xml:space="preserve">
        <w:t> </w:t>
      </w:r>
      <w:r>
        <w:t xml:space="preserve">The secretary of state shall, not later than January 1,2022, submit a report on the secretary's findings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