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87S30395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imposition of municipal ad valorem taxes on property that does not receive full municipal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43, Local Government Code, is amended by adding Section 43.909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AD VALOREM TAXATION IN CERTAIN AREAS PROHIBITED.  Notwithstanding any other law, a municipality may not impose a tax on real property in an area that does not receive full municipal services. The prohibition may be waived by written agreement between the municipality and a landowner in the area. A written agreement applies only to property owned by the landowner who enters into the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