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43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climate control requirements at facilities operated by the Texas Department of Criminal Justice.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501, Government Code, is amended by adding Section 501.028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501.028.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CLIMATE CONTROL REQUIREMENTS AT DEPARTMENT FACILITIES.  (a)  In this section, "required temperature-controlled area" means the following areas of a facility operated by the department: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hospitals;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visiting areas;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housing or dormitory areas;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trustee areas;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areas used for medical treatment or care, including areas used for dispensing medication to inmates;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kitchens or dining areas;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food preparation areas;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community areas, including dayrooms;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laundry areas;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areas used for work stations;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indoor recreational areas, including gymnasiums;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restroom and shower areas and other areas related to inmate hygiene;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administrative areas;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correctional officer stations, including guard post areas;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commissary areas;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areas used for programmatic, educational, or vocational purposes;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chapels or churches;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libraries;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maintenance areas.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ensure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temperature in each required temperature-controlled area is maintained at not less than 65 degrees Fahrenheit or more than 85 degrees Fahrenheit;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climate control system in use at a facility operated by the department includes virus-mitigation technology, such as air purifiers, for the purpose of reducing the spread of airborne viruses.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Texas Department of Criminal Justice is not required to comply with the requirements of Section 501.028, Government Code, as added by this Act, until September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