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52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to fund capital projects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Sections 55.1791, 55.1792, 55.1793, 55.1794, 55.1795, 55.1796, 55.1797, 55.1798, 55.1799, and 55.17991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w:t>
      </w:r>
      <w:r>
        <w:rPr>
          <w:u w:val="single"/>
        </w:rPr>
        <w:t xml:space="preserve"> </w:t>
      </w:r>
      <w:r>
        <w:rPr>
          <w:u w:val="single"/>
        </w:rPr>
        <w:t xml:space="preserve">(a)</w:t>
      </w:r>
      <w:r>
        <w:rPr>
          <w:u w:val="single"/>
        </w:rPr>
        <w:t xml:space="preserve"> </w:t>
      </w:r>
      <w:r>
        <w:rPr>
          <w:u w:val="single"/>
        </w:rPr>
        <w:t xml:space="preserve"> </w:t>
      </w:r>
      <w:r>
        <w:rPr>
          <w:u w:val="single"/>
        </w:rPr>
        <w:t xml:space="preserve">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A&amp;M University, $125 million for construction of a clinical veterinary teaching and research complex;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A&amp;M University--Central Texas, $40 million for construction of a central plant and infrastructure upgrades;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A&amp;M University--Commerce, $40 million for infrastructure upgrades to address accessibility for persons with disabilities and health and safety issues;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University--Corpus Christi, $30 million to address deferred maintenance;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A&amp;M University--Kingsville, $60 million to address deferred maintenance;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Prairie View A&amp;M University, $60 million for construction of a teaching and academic student support services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West Texas A&amp;M University, $65,750,000 for infrastructure upgrades to address health and safety issues and the renovation of an education building;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A&amp;M University--San Antonio, $50 million for construction of a public health and education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Texas A&amp;M International University, $70 million for construction of a health science education and research center;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Texas A&amp;M University--Texarkana, $46 million for construction of a business, engineering, and technology building;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Texas A&amp;M University System Health Science Center, $55 million for construction of the Texas Medical Center Building 3 in Houston,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Austin, $74 million for renovation of the Microelectronics Research Center at the J.</w:t>
      </w:r>
      <w:r>
        <w:rPr>
          <w:u w:val="single"/>
        </w:rPr>
        <w:t xml:space="preserve"> </w:t>
      </w:r>
      <w:r>
        <w:rPr>
          <w:u w:val="single"/>
        </w:rPr>
        <w:t xml:space="preserve">J.</w:t>
      </w:r>
      <w:r>
        <w:rPr>
          <w:u w:val="single"/>
        </w:rPr>
        <w:t xml:space="preserve"> </w:t>
      </w:r>
      <w:r>
        <w:rPr>
          <w:u w:val="single"/>
        </w:rPr>
        <w:t xml:space="preserve">Pickle Research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Arlington, $101,200,000 for renovation of the Life Science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 $62 million for construction of a student success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 $74 million for construction of an advanced teaching and learning complex;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of the Permian Basin, $50 million for renovation of the Mesa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 Rio Grande Valley, $35 million to address deferred maintenance;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Health Science Center at Tyler, $48 million for construction of a health professions education center;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at Tyler, $54,800,000 for construction of a sciences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M. D. Anderson Cancer Center, $74 million for construction of a life sciences research, innovation, and discovery facility;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Medical Branch at Galveston, $81,358,171 for infrastructure and research space upgrades for research buildings.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  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 $113 million for construction of a medical research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 $118,800,000 for construction of the IDEA Lab;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Houston--Clear Lake, $60 million for renovation of the Bayou Building, the Delta Building, and the Student Services and Classroom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Houston--Downtown, $15 million for additions to the Girard Street Building;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Houston--Victoria, $21,280,469 for renovation of existing buildings and other campus infrastructure upgrades.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w:t>
      </w:r>
      <w:r>
        <w:rPr>
          <w:u w:val="single"/>
        </w:rPr>
        <w:t xml:space="preserve">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Lamar State College--Orange, $42 million for the construction of an academic building to house general academic instruction and information technology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Institute of Technology, $48 million for construction of a facility for workforce and allied health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University, $75 million for renovation of a library;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Sam Houston State University, $70 million for construction of an allied health building located in Conroe, Texas;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University, $141,300,000 for construction of a STEM classroom building and health professions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 $113,400,000 for construction of a science and technology research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$140 million for construction of a science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$84 million for campus space optimization and realignment.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(a)  In addition to the other authority granted by this subchapter, the board of regents of Texas Woman's University may acquire, purchase, construct, improve, renovate, enlarge, or equip property and facilities, including roads and related infrastructure, for construction of a health sciences center, to be financed through the issuance of bonds in accordance with this subchapter, not to exceed the aggregate principal amount of $108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STEPHEN F. AUSTIN STATE UNIVERSITY; ADDITIONAL BONDS.  (a)  In addition to the other authority granted by this subchapter, the board of regents of Stephen F. Austin State University may acquire, purchase, construct, improve, renovate, enlarge, or equip property and facilities, including roads and related infrastructure, for construction of an interdisciplinary and applied sciences building, to be financed through the issuance of bonds in accordance with this subchapter, not to exceed the aggregate principal amount of $53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TEXAS TECH UNIVERSITY SYSTEM; ADDITIONAL BONDS. </w:t>
      </w:r>
      <w:r>
        <w:rPr>
          <w:u w:val="single"/>
        </w:rPr>
        <w:t xml:space="preserve"> </w:t>
      </w:r>
      <w:r>
        <w:rPr>
          <w:u w:val="single"/>
        </w:rPr>
        <w:t xml:space="preserve">(a)</w:t>
      </w:r>
      <w:r>
        <w:rPr>
          <w:u w:val="single"/>
        </w:rPr>
        <w:t xml:space="preserve"> </w:t>
      </w:r>
      <w:r>
        <w:rPr>
          <w:u w:val="single"/>
        </w:rPr>
        <w:t xml:space="preserve"> </w:t>
      </w:r>
      <w:r>
        <w:rPr>
          <w:u w:val="single"/>
        </w:rPr>
        <w:t xml:space="preserve">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Angelo State University, $36 million for maintenance and renovation of a central plant;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$72 million for renovations to address deferred maintenance for campus buildings;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$8 million for maintenance and program enhancement construction in Junction,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Midwestern State University, $50 million for renovation of the Bolin Science Hall and other infrastructure;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 $90 million for maintenance and renovation of an existing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projects to be financed through the issuance of bonds in accordance with this subchapter,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$22,800,000 for renovation of the Nabrit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$2,400,000 for upgrades to signage and wayfinding;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$40 million for facility maintenance and renovation;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$30 million for construction of a health and wellness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Southern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55.17991.</w:t>
      </w:r>
      <w:r>
        <w:rPr>
          <w:u w:val="single"/>
        </w:rPr>
        <w:t xml:space="preserve"> </w:t>
      </w:r>
      <w:r>
        <w:rPr>
          <w:u w:val="single"/>
        </w:rPr>
        <w:t xml:space="preserve"> </w:t>
      </w:r>
      <w:r>
        <w:rPr>
          <w:u w:val="single"/>
        </w:rPr>
        <w:t xml:space="preserve">TEXAS STATE TECHNICAL COLLEGE SYSTEM.  (a)  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$33,300,000 for the Williamson County campus site phase 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$41,800,000 for construction of phase II of the campus site;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$37,800,000 for construction of an industrial technology performance learning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Technical College--Marshall, $15 million for construction of an industrial technology performance learning center;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Technical College--North Texas, $13.5 million for construction of phase II of the campus site;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State Technical College--West Texas, $13.5 million for construction of phase II of the campus site located in Abilene, Texas;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State Technical College--Waco, $53,600,000 for construction of an industrial technology performance learning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w:t>
      </w:r>
      <w:r>
        <w:rPr>
          <w:u w:val="single"/>
        </w:rPr>
        <w:t xml:space="preserve"> </w:t>
      </w:r>
      <w:r>
        <w:rPr>
          <w:u w:val="single"/>
        </w:rP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 2</w:t>
      </w:r>
      <w:r>
        <w:t xml:space="preserve">.</w:t>
      </w:r>
      <w:r xml:space="preserve">
        <w:t> </w:t>
      </w:r>
      <w:r xml:space="preserve">
        <w:t> </w:t>
      </w:r>
      <w:r>
        <w:t xml:space="preserve">Subchapter B, Chapter 55, Education Code, is amended by adding Section 55.111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55.111.</w:t>
      </w:r>
      <w:r>
        <w:rPr>
          <w:u w:val="single"/>
        </w:rPr>
        <w:t xml:space="preserve"> </w:t>
      </w:r>
      <w:r>
        <w:rPr>
          <w:u w:val="single"/>
        </w:rPr>
        <w:t xml:space="preserve"> </w:t>
      </w:r>
      <w:r>
        <w:rPr>
          <w:u w:val="single"/>
        </w:rPr>
        <w:t xml:space="preserve">CERTAIN ALLOCATED FUNDS TO BE DESIGNATED AS CAPITAL CONSTRUCTION ASSISTANCE PROJECTS. </w:t>
      </w:r>
      <w:r>
        <w:rPr>
          <w:u w:val="single"/>
        </w:rPr>
        <w:t xml:space="preserve"> </w:t>
      </w:r>
      <w:r>
        <w:rPr>
          <w:u w:val="single"/>
        </w:rPr>
        <w:t xml:space="preserve">For purposes of this subchapter, funds allocated from the appropriation of general revenue to an institution of higher education to supplement revenue funds of the institution described by Section 55.13(a) may be designated as "Capital Construction Assistance Projects."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