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revenue bonds to fund capital projects at public institutions of higher education, the oversight of certain capital projects at those institutions, and the designation of certain appropriated funds allocated to those institutions.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55.111.</w:t>
      </w:r>
      <w:r>
        <w:rPr>
          <w:u w:val="single"/>
        </w:rPr>
        <w:t xml:space="preserve"> </w:t>
      </w:r>
      <w:r>
        <w:rPr>
          <w:u w:val="single"/>
        </w:rPr>
        <w:t xml:space="preserve"> </w:t>
      </w:r>
      <w:r>
        <w:rPr>
          <w:u w:val="single"/>
        </w:rPr>
        <w:t xml:space="preserve">CERTAIN ALLOCATED FUNDS TO BE DESIGNATED AS CAPITAL CONSTRUCTION ASSISTANCE PROJECTS.  For purposes of this subchapter, funds allocated from the appropriation of general revenue or federal funds to an institution of higher education to supplement revenue funds of the institution described by Section 55.13(a) may be designated as "Capital Construction Assistance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55, Education Code, is amended by adding Sections 55.1791, 55.1792, 55.1793, 55.1794, 55.1795, 55.1796, 55.1797, 55.1798, 55.1799, and 55.17991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A&amp;M University System, $43,425,406 for construction of a STEM education center at the RELLIS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Prairie View A&amp;M University, $44,922,833 for construction of a teaching and academic student support services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Tarleton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million for construction of a College of Health Sciences and Human Services building on the Stephenville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$25 million for expansion of the Fort Worth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 $56,153,542 for construction of a clinical veterinary teaching and research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$44,922,833 for an Agricultural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$44,922,833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$33,692,125 for construction of an engineering classroom and research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University--Kingsville, $44,922,833 for renovations to address deferred maintenance for campus buildings;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University--Central Texas, $44,922,833 for construction of a central utility plant and infrastructure upgrades;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West Texas A&amp;M University, $44,922,833 for infrastructure upgrades to address health and safety issues and the renovation of an education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University--San Antonio, $44,922,833 for construction of a public health and education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Texas A&amp;M International University, $44,922,833 for construction of a health science education and research center;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Texas A&amp;M University--Texarkana, $44,922,833 for construction of a business, engineering, and technology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Texas A&amp;M University System Health Science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$69,897,111 for construction of the Texas Medical Center Building 3 in Houston,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$29,948,556 for construction of a nursing education and research center in McAllen,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System, $56,153,542 for renovation of the Microelectronics Research Center at the J.</w:t>
      </w:r>
      <w:r>
        <w:rPr>
          <w:u w:val="single"/>
        </w:rPr>
        <w:t xml:space="preserve"> </w:t>
      </w:r>
      <w:r>
        <w:rPr>
          <w:u w:val="single"/>
        </w:rPr>
        <w:t xml:space="preserve">J.</w:t>
      </w:r>
      <w:r>
        <w:rPr>
          <w:u w:val="single"/>
        </w:rPr>
        <w:t xml:space="preserve"> </w:t>
      </w:r>
      <w:r>
        <w:rPr>
          <w:u w:val="single"/>
        </w:rPr>
        <w:t xml:space="preserve">Pickle Research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Arlington, $52,409,972 for renovation of the Life Science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Austin, $56,153,542 for renovation of the Physics, Math, and Astronomy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Dallas, $52,409,972 for construction of a student success center;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at El Paso, $52,409,972 for construction of an advanced teaching and learning complex;</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 of the Permian Basin, $44,922,833 for renovation of the Mesa Building and campus transformation;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Rio Grande Valley, $44,922,833 for construction of a health affairs building;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San Antonio, $52,409,972 for construction of an Innovation, Entrepreneurship, and Careers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at Tyler, $44,922,833 for construction of a sciences building;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Houston, $69,897,111 for construction of a public health education and research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San Antonio, $59,897,111 for construction of the Glenn Biggs Institute for Alzheimer's &amp; Neurodegenerative Diseases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Health Science Center at Tyler: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$48 million for construction of a health professions education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 million for construction of a health professions education center located in Longview, Texas;</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 D. Anderson Cancer Center, $69,897,111 for construction of a life sciences research, innovation, and discovery initiative facility;</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Medical Branch at Galveston, $59,897,111 for infrastructure and research space upgrades for research buildings;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UT Southwestern Medical Center, $59,897,111 for construction of the north campus Phase VI Brain Institute shell space.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$59,897,111 for construction of a medical research facility;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$40 million for construction of the Hobby School of Public Affairs Building;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$52,409,972 for construction of the IDEA Lab;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$52,409,972 for construction of the Sugar Land Academic Building 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$44,922,833 for renovation of the Bayou Building, the Delta Building, and the Student Services and Classroom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 $44,922,833 for renovation of existing buildings and other campus infrastructure upgrades and for the construction of the Police Department and Criminal Justice Academy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$44,922,833 for renovation of existing buildings and other campus infrastructure upgrades.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w:t>
      </w:r>
      <w:r>
        <w:rPr>
          <w:u w:val="single"/>
        </w:rPr>
        <w:t xml:space="preserve">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University System, $11,230,708 for construction of a field research station and dam repair;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$37,435,695 for the replacement of an academic building to house general academic instruction and information technology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 $37,435,695 for construction of an allied health and sciences building;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 $37,435,695 for construction of a facility for workforce and allied health programs;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Lamar University, $44,922,833 for renovation of a library;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Sam Houston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$44,922,833 for construction of an allied health building located in Conroe,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$44,922,833 for construction of an active learning center located in Huntsville, Texas;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$111,921,496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$52,409,972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(a)  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$113,400,000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$100,000,000 for construction of a science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$59,897,111 for campus space optimization and realignment.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(a)  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Texas Woman's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financing of an alternative project as provided by Subsection (c)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STEPHEN F. AUSTIN STATE UNIVERSITY; ADDITIONAL BONDS.  (a)  In addition to the other authority granted by this subchapter, the board of regents of Stephen F. Austin State University may acquire, purchase, construct, improve, renovate, enlarge, or equip property and facilities, including roads and related infrastructure, for construction of an interdisciplinary and applied sciences building, to be financed through the issuance of bonds in accordance with this subchapter, not to exceed the aggregate principal amount of $44,922,833.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Stephen F. Austin State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financing of an alternative project as provided by Subsection (c)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TEXAS TECH UNIVERSITY SYSTEM; ADDITIONAL BONDS.  (a)  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$36 million for a central plant maintenance and renovation;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$72 million for renovations to address deferred maintenance for campus buildings;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million for maintenance and program enhancement construction in Junction,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Midwestern State University, $44,922,833 for renovations to an existing building and other campus infrastructure upgrades;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$59,897,111 for maintenance and renovation of an existing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$18,717,847 for construction and equipment of the physician assistant facility in Midland, Texas;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Tech University Health Sciences Center at El Paso, $59,897,111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university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projects to be financed through the issuance of bonds in accordance with this subchapter,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$22,800,000 for renovation of the Nabrit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$2,400,000 for upgrades to signage and wayfinding;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$40 million for facility maintenance and renovation;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$30 million for construction of a health and wellness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lieu of financing a project described by Subsection (a) for Texas Southern University, the board may finance in the manner prescribed by that subsection an alternative project for deferred maintenance, infrastructure, or construction at the university in an amount not to exceed the total of the amount authorized for the project and any unspent amount from projects authorized for the university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financing of an alternative project as provided by Subsection (c)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STATE TECHNICAL COLLEGE SYSTEM.  (a)  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$33,300,000 for the East Williamson County Higher Education Center expansion;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$41,800,000 for Fort Bend County campus expansion;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$37,800,000 for Harlingen campus expansion;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$15 million for Marshall campus expansion;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$13.5 million for North Texas campus expansion;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College--West Texas, $13.5 million for West Texas campus expansion;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College--Waco, $53,600,000 for Waco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lieu of financing a project described by Subsection (a) for an institution of higher education, entity, or system, the board may finance in the manner prescribed by that subsection an alternative project for deferred maintenance, infrastructure, or construction at the same institution, entity, or system in an amount not to exceed the total of the amount authorized for the project and any unspent amount from projects authorized for the institution, entity, or system under this chapter.  The board shall notify the Texas Higher Education Coordinating Board of an alternative project financed as provided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financing of an alternative project as provided by Subsection (d) in an amount that exceeds $25 million, the board must receive prior written approval from the governor and Legislative Budget Board.  A request for approval of financing of an alternative project is considered approved unless the governor or the Legislative Budget Board issues a written disapproval not later than the 30th business day after the date of the receipt of the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55, Education Code, is amended by adding Section 55.165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55.165.</w:t>
      </w:r>
      <w:r>
        <w:rPr>
          <w:u w:val="single"/>
        </w:rPr>
        <w:t xml:space="preserve"> </w:t>
      </w:r>
      <w:r>
        <w:rPr>
          <w:u w:val="single"/>
        </w:rPr>
        <w:t xml:space="preserve"> </w:t>
      </w:r>
      <w:r>
        <w:rPr>
          <w:u w:val="single"/>
        </w:rPr>
        <w:t xml:space="preserve">OVERSIGHT OF CERTAIN CAPITAL PROJECTS.  (a)  This section applies only to a capital project for which the issuance of bonds is specifically authorized under this chapter on or after October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2262.002(a), Government Code, or any other law, a project to which this section applies is subject to oversight by the contract advisory team in accordance with Subchapter C, Chapter 2262, Government Code, and the governing board of the institution of higher education or university system for which a project was authorized shall consult the contract advisory team before expending any funds for purposes of the project.  The contract advisory team shall consider the model guidelines for procurement and construction developed by the capital project oversight advisory commission established by S.B.</w:t>
      </w:r>
      <w:r>
        <w:rPr>
          <w:u w:val="single"/>
        </w:rPr>
        <w:t xml:space="preserve"> </w:t>
      </w:r>
      <w:r>
        <w:rPr>
          <w:u w:val="single"/>
        </w:rPr>
        <w:t xml:space="preserve">52, 87th Legislature, 3rd Called Session, 2021, when consulting with a governing board for purposes of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322.020(f), Government Code, or any other law, the governing board of an institution of higher education or university system authorized to issue bonds for a project to which this section applies shall report any major contract as defined by Section 322.020(a), Government Code, that is entered into for purposes of the project to the major contracts database maintained by the Legislative Budget Board under Section 322.020, Government Code, not later than the 30th day after the date the contract is executed.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CAPITAL PROJECT OVERSIGHT ADVISORY COMMISSION.  (a)  The Capital Project Oversight Advisory Commission is composed of nine members as follows:</w:t>
      </w:r>
    </w:p>
    <w:p w:rsidR="003F3435" w:rsidRDefault="0032493E">
      <w:pPr>
        <w:spacing w:line="480" w:lineRule="auto"/>
        <w:ind w:firstLine="1440"/>
        <w:jc w:val="both"/>
      </w:pPr>
      <w:r>
        <w:t xml:space="preserve">(1)</w:t>
      </w:r>
      <w:r xml:space="preserve">
        <w:t> </w:t>
      </w:r>
      <w:r xml:space="preserve">
        <w:t> </w:t>
      </w:r>
      <w:r>
        <w:t xml:space="preserve">the chair of the Senate Committee on Higher Education;</w:t>
      </w:r>
    </w:p>
    <w:p w:rsidR="003F3435" w:rsidRDefault="0032493E">
      <w:pPr>
        <w:spacing w:line="480" w:lineRule="auto"/>
        <w:ind w:firstLine="1440"/>
        <w:jc w:val="both"/>
      </w:pPr>
      <w:r>
        <w:t xml:space="preserve">(2)</w:t>
      </w:r>
      <w:r xml:space="preserve">
        <w:t> </w:t>
      </w:r>
      <w:r xml:space="preserve">
        <w:t> </w:t>
      </w:r>
      <w:r>
        <w:t xml:space="preserve">one member of the senate appointed by the lieutenant governor;</w:t>
      </w:r>
    </w:p>
    <w:p w:rsidR="003F3435" w:rsidRDefault="0032493E">
      <w:pPr>
        <w:spacing w:line="480" w:lineRule="auto"/>
        <w:ind w:firstLine="1440"/>
        <w:jc w:val="both"/>
      </w:pPr>
      <w:r>
        <w:t xml:space="preserve">(3)</w:t>
      </w:r>
      <w:r xml:space="preserve">
        <w:t> </w:t>
      </w:r>
      <w:r xml:space="preserve">
        <w:t> </w:t>
      </w:r>
      <w:r>
        <w:t xml:space="preserve">the chair of the House Committee on Higher Education;</w:t>
      </w:r>
    </w:p>
    <w:p w:rsidR="003F3435" w:rsidRDefault="0032493E">
      <w:pPr>
        <w:spacing w:line="480" w:lineRule="auto"/>
        <w:ind w:firstLine="1440"/>
        <w:jc w:val="both"/>
      </w:pPr>
      <w:r>
        <w:t xml:space="preserve">(4)</w:t>
      </w:r>
      <w:r xml:space="preserve">
        <w:t> </w:t>
      </w:r>
      <w:r xml:space="preserve">
        <w:t> </w:t>
      </w:r>
      <w:r>
        <w:t xml:space="preserve">one member of the house of representatives appointed by the speaker of the house of representatives;</w:t>
      </w:r>
    </w:p>
    <w:p w:rsidR="003F3435" w:rsidRDefault="0032493E">
      <w:pPr>
        <w:spacing w:line="480" w:lineRule="auto"/>
        <w:ind w:firstLine="1440"/>
        <w:jc w:val="both"/>
      </w:pPr>
      <w:r>
        <w:t xml:space="preserve">(5)</w:t>
      </w:r>
      <w:r xml:space="preserve">
        <w:t> </w:t>
      </w:r>
      <w:r xml:space="preserve">
        <w:t> </w:t>
      </w:r>
      <w:r>
        <w:t xml:space="preserve">one member of the public appointed by the lieutenant governor;</w:t>
      </w:r>
    </w:p>
    <w:p w:rsidR="003F3435" w:rsidRDefault="0032493E">
      <w:pPr>
        <w:spacing w:line="480" w:lineRule="auto"/>
        <w:ind w:firstLine="1440"/>
        <w:jc w:val="both"/>
      </w:pPr>
      <w:r>
        <w:t xml:space="preserve">(6)</w:t>
      </w:r>
      <w:r xml:space="preserve">
        <w:t> </w:t>
      </w:r>
      <w:r xml:space="preserve">
        <w:t> </w:t>
      </w:r>
      <w:r>
        <w:t xml:space="preserve">one member of the public appointed by the speaker of the house of representatives;</w:t>
      </w:r>
    </w:p>
    <w:p w:rsidR="003F3435" w:rsidRDefault="0032493E">
      <w:pPr>
        <w:spacing w:line="480" w:lineRule="auto"/>
        <w:ind w:firstLine="1440"/>
        <w:jc w:val="both"/>
      </w:pPr>
      <w:r>
        <w:t xml:space="preserve">(7)</w:t>
      </w:r>
      <w:r xml:space="preserve">
        <w:t> </w:t>
      </w:r>
      <w:r xml:space="preserve">
        <w:t> </w:t>
      </w:r>
      <w:r>
        <w:t xml:space="preserve">the chair of the Texas Facilities Commission;</w:t>
      </w:r>
    </w:p>
    <w:p w:rsidR="003F3435" w:rsidRDefault="0032493E">
      <w:pPr>
        <w:spacing w:line="480" w:lineRule="auto"/>
        <w:ind w:firstLine="1440"/>
        <w:jc w:val="both"/>
      </w:pPr>
      <w:r>
        <w:t xml:space="preserve">(8)</w:t>
      </w:r>
      <w:r xml:space="preserve">
        <w:t> </w:t>
      </w:r>
      <w:r xml:space="preserve">
        <w:t> </w:t>
      </w:r>
      <w:r>
        <w:t xml:space="preserve">the commissioner of higher education; and</w:t>
      </w:r>
    </w:p>
    <w:p w:rsidR="003F3435" w:rsidRDefault="0032493E">
      <w:pPr>
        <w:spacing w:line="480" w:lineRule="auto"/>
        <w:ind w:firstLine="1440"/>
        <w:jc w:val="both"/>
      </w:pPr>
      <w:r>
        <w:t xml:space="preserve">(9)</w:t>
      </w:r>
      <w:r xml:space="preserve">
        <w:t> </w:t>
      </w:r>
      <w:r xml:space="preserve">
        <w:t> </w:t>
      </w:r>
      <w:r>
        <w:t xml:space="preserve">one member of the public appointed by the governor to serve as chair of the commission.</w:t>
      </w:r>
    </w:p>
    <w:p w:rsidR="003F3435" w:rsidRDefault="0032493E">
      <w:pPr>
        <w:spacing w:line="480" w:lineRule="auto"/>
        <w:ind w:firstLine="720"/>
        <w:jc w:val="both"/>
      </w:pPr>
      <w:r>
        <w:t xml:space="preserve">(b)</w:t>
      </w:r>
      <w:r xml:space="preserve">
        <w:t> </w:t>
      </w:r>
      <w:r xml:space="preserve">
        <w:t> </w:t>
      </w:r>
      <w:r>
        <w:t xml:space="preserve">Appointments to the commission shall be made without regard to the race, color, disability, sex, religion, age, or national origin of the appointee.</w:t>
      </w:r>
    </w:p>
    <w:p w:rsidR="003F3435" w:rsidRDefault="0032493E">
      <w:pPr>
        <w:spacing w:line="480" w:lineRule="auto"/>
        <w:ind w:firstLine="720"/>
        <w:jc w:val="both"/>
      </w:pPr>
      <w:r>
        <w:t xml:space="preserve">(c)</w:t>
      </w:r>
      <w:r xml:space="preserve">
        <w:t> </w:t>
      </w:r>
      <w:r xml:space="preserve">
        <w:t> </w:t>
      </w:r>
      <w:r>
        <w:t xml:space="preserve">The commission, in consultation with the Legislative Budget Board and Comptroller of Public Accounts, shall develop model guidelines to be considered by public institutions of higher education and university systems for procurement and construction related to capital projects for which the issuance of bonds is specifically authorized under Chapter 55, Education Code.</w:t>
      </w:r>
    </w:p>
    <w:p w:rsidR="003F3435" w:rsidRDefault="0032493E">
      <w:pPr>
        <w:spacing w:line="480" w:lineRule="auto"/>
        <w:ind w:firstLine="720"/>
        <w:jc w:val="both"/>
      </w:pPr>
      <w:r>
        <w:t xml:space="preserve">(d)</w:t>
      </w:r>
      <w:r xml:space="preserve">
        <w:t> </w:t>
      </w:r>
      <w:r xml:space="preserve">
        <w:t> </w:t>
      </w:r>
      <w:r>
        <w:t xml:space="preserve">The commission may request reports and other information from the Texas Higher Education Coordinating Board relating to capital projects described by Subsection (c) of this section.</w:t>
      </w:r>
    </w:p>
    <w:p w:rsidR="003F3435" w:rsidRDefault="0032493E">
      <w:pPr>
        <w:spacing w:line="480" w:lineRule="auto"/>
        <w:ind w:firstLine="720"/>
        <w:jc w:val="both"/>
      </w:pPr>
      <w:r>
        <w:t xml:space="preserve">(e)</w:t>
      </w:r>
      <w:r xml:space="preserve">
        <w:t> </w:t>
      </w:r>
      <w:r xml:space="preserve">
        <w:t> </w:t>
      </w:r>
      <w:r>
        <w:t xml:space="preserve">Not later than March 31, 2022, the commission shall develop the model guidelines required by Subsection (c) of this section.</w:t>
      </w:r>
    </w:p>
    <w:p w:rsidR="003F3435" w:rsidRDefault="0032493E">
      <w:pPr>
        <w:spacing w:line="480" w:lineRule="auto"/>
        <w:ind w:firstLine="720"/>
        <w:jc w:val="both"/>
      </w:pPr>
      <w:r>
        <w:t xml:space="preserve">(f)</w:t>
      </w:r>
      <w:r xml:space="preserve">
        <w:t> </w:t>
      </w:r>
      <w:r xml:space="preserve">
        <w:t> </w:t>
      </w:r>
      <w:r>
        <w:t xml:space="preserve">Not later than December 1, 2022, the commission shall prepare and submit a report to the governor, lieutenant governor, and speaker of the house of representatives on the model guidelines developed under Subsection (c) of this section and recommendations for legislative or other action.</w:t>
      </w:r>
    </w:p>
    <w:p w:rsidR="003F3435" w:rsidRDefault="0032493E">
      <w:pPr>
        <w:spacing w:line="480" w:lineRule="auto"/>
        <w:ind w:firstLine="720"/>
        <w:jc w:val="both"/>
      </w:pPr>
      <w:r>
        <w:t xml:space="preserve">(g)</w:t>
      </w:r>
      <w:r xml:space="preserve">
        <w:t> </w:t>
      </w:r>
      <w:r xml:space="preserve">
        <w:t> </w:t>
      </w:r>
      <w:r>
        <w:t xml:space="preserve">The commission is abolished effective December 31,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on the 91st day after the last day of the legislative session.</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 passed the Senate on October 15, 2021, by the following vote:</w:t>
      </w:r>
      <w:r xml:space="preserve">
        <w:t> </w:t>
      </w:r>
      <w:r xml:space="preserve">
        <w:t> </w:t>
      </w:r>
      <w:r>
        <w:t xml:space="preserve">Yeas</w:t>
      </w:r>
      <w:r xml:space="preserve">
        <w:t> </w:t>
      </w:r>
      <w:r>
        <w:t xml:space="preserve">30, Nays</w:t>
      </w:r>
      <w:r xml:space="preserve">
        <w:t> </w:t>
      </w:r>
      <w:r>
        <w:t xml:space="preserve">1; </w:t>
      </w:r>
      <w:r>
        <w:t xml:space="preserve"> </w:t>
      </w:r>
      <w:r>
        <w:t xml:space="preserve"> </w:t>
      </w:r>
      <w:r>
        <w:t xml:space="preserve"> </w:t>
      </w:r>
      <w:r>
        <w:t xml:space="preserve">October 18, 2021, Senate refused to concur in House amendments and requested appointment of Conference Committee; October 18, 2021, House granted request of the Senate; October 18, 2021, Senate adopted Conference Committee Report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52 passed the House, with amendments, on October 17, 2021, by the following vote:</w:t>
      </w:r>
      <w:r xml:space="preserve">
        <w:t> </w:t>
      </w:r>
      <w:r xml:space="preserve">
        <w:t> </w:t>
      </w:r>
      <w:r>
        <w:t xml:space="preserve">Yeas</w:t>
      </w:r>
      <w:r xml:space="preserve">
        <w:t> </w:t>
      </w:r>
      <w:r>
        <w:t xml:space="preserve">131, Nays</w:t>
      </w:r>
      <w:r xml:space="preserve">
        <w:t> </w:t>
      </w:r>
      <w:r>
        <w:t xml:space="preserve">8, one present not voting; October 18, 2021, House granted request of the Senate for appointment of Conference Committee; October 18, 2021, House adopted Conference Committee Report by the following vote:</w:t>
      </w:r>
      <w:r xml:space="preserve">
        <w:t> </w:t>
      </w:r>
      <w:r xml:space="preserve">
        <w:t> </w:t>
      </w:r>
      <w:r>
        <w:t xml:space="preserve">Yeas</w:t>
      </w:r>
      <w:r xml:space="preserve">
        <w:t> </w:t>
      </w:r>
      <w:r>
        <w:t xml:space="preserve">111, Nays</w:t>
      </w:r>
      <w:r xml:space="preserve">
        <w:t> </w:t>
      </w:r>
      <w:r>
        <w:t xml:space="preserve">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