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October</w:t>
      </w:r>
      <w:r xml:space="preserve">
        <w:t> </w:t>
      </w:r>
      <w:r>
        <w:t xml:space="preserve">12,</w:t>
      </w:r>
      <w:r xml:space="preserve">
        <w:t> </w:t>
      </w:r>
      <w:r>
        <w:t xml:space="preserve">2021; October</w:t>
      </w:r>
      <w:r xml:space="preserve">
        <w:t> </w:t>
      </w:r>
      <w:r>
        <w:t xml:space="preserve">12,</w:t>
      </w:r>
      <w:r xml:space="preserve">
        <w:t> </w:t>
      </w:r>
      <w:r>
        <w:t xml:space="preserve">2021, read first time and referred to Committee on Higher Education; October</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9, Nays 0; October</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A&amp;M University, $140 million for construction of a clinical veterinary teaching and research complex;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A&amp;M University--Central Texas, $50 million for construction of a central plant and infrastructure upgrades;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University--Commerce, $40 million for infrastructure upgrades to address accessibility for persons with disabilities and health and safety issues;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University--Kingsville, $60 million to address deferred maintenance;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West Texas A&amp;M University, $65,750,000 for infrastructure upgrades to address health and safety issues and the renovation of an education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University--San Antonio, $60 million for construction of a public health and education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International University, $80 million for construction of a health science education and research center;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University--Texarkana, $46 million for construction of a business, engineering, and technology building;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Texas A&amp;M University System Health Science Center, $80 million for construction of the Texas Medical Center Building 3 in Houston,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Austin, $80 million for renovation of the Microelectronics Research Center at the J.</w:t>
      </w:r>
      <w:r>
        <w:rPr>
          <w:u w:val="single"/>
        </w:rPr>
        <w:t xml:space="preserve"> </w:t>
      </w:r>
      <w:r>
        <w:rPr>
          <w:u w:val="single"/>
        </w:rPr>
        <w:t xml:space="preserve">J.</w:t>
      </w:r>
      <w:r>
        <w:rPr>
          <w:u w:val="single"/>
        </w:rPr>
        <w:t xml:space="preserve"> </w:t>
      </w:r>
      <w:r>
        <w:rPr>
          <w:u w:val="single"/>
        </w:rPr>
        <w:t xml:space="preserve">Pickle Research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Arlington, $107,200,000 for renovation of the Life Science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$68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$80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$56 million for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Tyler, $60,800,000 for construction of a sciences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M. D. Anderson Cancer Center, $80 million for construction of a life sciences research, innovation, and discovery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Medical Branch at Galveston, $87,358,171 for infrastructure and research space upgrades for research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$128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$118,800,000 for construction of the IDEA Lab;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$60 million for renovation of the Bayou Building, the Delta Building, and the Student Services and Classroom Building;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Houston--Victoria, $21,280,469 for renovation of existing buildings and other campus infrastructure upgrades.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the construction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University, $75 million for renovation of a library;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Sam Houston State University, $70 million for construction of an allied health building located in Conroe, Texas;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University, $141,300,000 for construction of a STEM classroom building located in San Marcos,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$113,400,000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$140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$84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construction of a health sciences center, to be financed through the issuance of bonds in accordance with this subchapter, not to exceed the aggregate principal amount of $108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maintenance and renovation of a central plant;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$72 million for renovations to address deferred maintenance for campus buildings;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million for maintenance and program enhancement construction in Junction,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Midwestern State University, $50 million for renovation of the Bolin Science Hall and other infrastructure;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$90 million for maintenance and renovation of an existing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$2,400,000 for upgrades to signage and wayfinding;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 million for facility maintenance and renovation;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million for construction of a health and wellness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$33,300,000 for the Williamson County campus site phase 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construction of phase II of the campus 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construction of an industrial technology performance learning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construction of an industrial technology performance learning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construction of phase II of the campus site;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construction of phase II of the campus site located in Abilene, Texas;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$53,600,000 for construction of an industrial technology performance learning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w:t>
      </w:r>
      <w:r>
        <w:rPr>
          <w:u w:val="single"/>
        </w:rPr>
        <w:t xml:space="preserve"> </w:t>
      </w:r>
      <w:r>
        <w:rPr>
          <w:u w:val="single"/>
        </w:rP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