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87S30278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et al.</w:t>
      </w:r>
      <w:r xml:space="preserve">
        <w:tab wTab="150" tlc="none" cTlc="0"/>
      </w:r>
      <w:r>
        <w:t xml:space="preserve">S.B.</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local governmental entities to mandate COVID-19 vaccinations for entity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161.0055.</w:t>
      </w:r>
      <w:r>
        <w:rPr>
          <w:u w:val="single"/>
        </w:rPr>
        <w:t xml:space="preserve"> </w:t>
      </w:r>
      <w:r>
        <w:rPr>
          <w:u w:val="single"/>
        </w:rPr>
        <w:t xml:space="preserve"> </w:t>
      </w:r>
      <w:r>
        <w:rPr>
          <w:u w:val="single"/>
        </w:rPr>
        <w:t xml:space="preserve">LOCAL GOVERNMENTAL ENTITY AUTHORITY TO MANDATE COVID-19 VACCINATIONS FOR ENTITY EMPLOYEES.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governmental entity" has the meaning assigned by Section 554.001,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local governmental entity may, as a condition of employment, require an entity employee to provide to the entity in the form and manner prescribed by the entity documentation of the employee's COVID-19 vaccination, including any recommended booster dose of the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governmental entity that requires an entity employee to be vaccinated against COVID-19 under Subsection (b) shall allow the employee to claim an exemption from the required vaccination based on a medical condition or a religious belief if the employee submits to the entity on the form prescribed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affidavit signed by a physician who is duly registered and licensed to practice medicine in the United States stating that, in the physician's opinion, the required vaccination poses a significant risk to the employee's health;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affidavit signed by the employee or, if the employee is a minor, by the employee's parent or guardian stating that the employee declines immunization for a specified and verifiable religious-based reason and that the immunization conflicts with the tenets and practices of a recognized church or religious denomination of which the employee is an adherent or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Workforce Commission shall develop and make available on the workforce commission's Internet website blank affidavit forms to be used by an employee who claims an exemption from a required COVID-19 vaccination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executive order, proclamation, or regulation issued under Chapter 418, Government Code, may not suspend, limit, or alter this section or an employment condition established by a local governmental entity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