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legal clinic operated by a public law school in the Rio Grande Valley.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86, Education Code, is amended by adding Section 86.17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86.17.</w:t>
      </w:r>
      <w:r>
        <w:rPr>
          <w:u w:val="single"/>
        </w:rPr>
        <w:t xml:space="preserve"> </w:t>
      </w:r>
      <w:r>
        <w:rPr>
          <w:u w:val="single"/>
        </w:rPr>
        <w:t xml:space="preserve"> </w:t>
      </w:r>
      <w:r>
        <w:rPr>
          <w:u w:val="single"/>
        </w:rPr>
        <w:t xml:space="preserve">TEXAS A&amp;M UNIVERSITY RIO GRANDE VALLEY LEGAL CLINIC.  (a)  The Texas A&amp;M University System may conduct and maintain a legal clinic through Texas A&amp;M University School of Law in Cameron County or Hidalgo County as a unit of the system in the manner considered expedient and advisable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accept and administer gifts and grants from any public or private person or entity for the use and benefit of the legal clinic.  Notwithstanding any other provision of this section, the establishment of a legal clinic under this section is subject to the availability of funds through appropriation or from another source.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For the purposes of Sections 61.0905 and 86.17, Education Code, as added by this Act, no state funds may be appropriated for a state fiscal biennium ending on or before August 31,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