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87S20075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a judge or magistrate to impose the least restrictive conditions of bail that may be necessary and authorizing the denial of bail under some circumstances to a person accused of a violent or sexual offense or of continuous trafficking of persons.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offenses,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setting bail, a judge or magistrate shall impose the least restrictive conditions, if any, and the monetary bond or personal bond necessary to reasonably ensure the accused person's appearance in court as required and the safety of the community, law enforcement, and the victim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May 7, 2022.  The ballot shall be printed to permit voting for or against the proposition: </w:t>
      </w:r>
      <w:r>
        <w:t xml:space="preserve"> </w:t>
      </w:r>
      <w:r>
        <w:t xml:space="preserve">"The constitutional amendment requiring a judge or magistrate to impose the least restrictive conditions of bail that may be necessary and authorizing the denial of bail under some circumstances to a person accused of a violent or sexual offense or of continuous trafficking of persons."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