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S.J.R.</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establishing the Texas Redistricting Commission to redistrict the United States House of Representatives and the Texas Legislature.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28a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Texas Redistricting Commission exercises the legislative authority of this state to adopt redistricting plans for the election of members of the United States House of Representatives elected from this state, the Texas House of Representatives, and the Texas Senate.  Districts for those legislative bodies may not be established or changed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shall provide by general law for the composition and operation of the Texas Redistricting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takes effect January 1, 2030.  On that date, the Legislative Redistricting Board is abolished and Section 28 of this article is repealed.  The Texas Redistricting Commission shall convene for the first time on the first business day after January 31, 2031.  This subsection expires January 1, 2032.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7a, Article V, Texas Constitution, is amended by amending Subsections (e) and (i) and adding Subsection (j)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28a</w:t>
      </w:r>
      <w:r>
        <w:t xml:space="preserve"> [</w:t>
      </w:r>
      <w:r>
        <w:rPr>
          <w:strike/>
        </w:rPr>
        <w:t xml:space="preserve">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_______________ County into judicial districts composed of parts of _______________ County."  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Until January 1, 2030, a reference in this section to the Texas Redistricting Commission means the Legislative Redistricting Board established under Article III, Section 28, of this constitution.  This subsection expires January 1, 2031.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May 7, 2022.  The ballot shall be printed to permit voting for or against the following proposition:</w:t>
      </w:r>
      <w:r xml:space="preserve">
        <w:t> </w:t>
      </w:r>
      <w:r xml:space="preserve">
        <w:t> </w:t>
      </w:r>
      <w:r>
        <w:t xml:space="preserve">"The constitutional amendment establishing the Texas Redistricting Commission to redistrict the United States House of Representatives and the Texas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