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17CDA" w14:paraId="6D30D7E6" w14:textId="77777777" w:rsidTr="00345119">
        <w:tc>
          <w:tcPr>
            <w:tcW w:w="9576" w:type="dxa"/>
            <w:noWrap/>
          </w:tcPr>
          <w:p w14:paraId="7F43F592" w14:textId="77777777" w:rsidR="008423E4" w:rsidRPr="0022177D" w:rsidRDefault="00276063" w:rsidP="00BE31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5D7881F" w14:textId="77777777" w:rsidR="008423E4" w:rsidRPr="0022177D" w:rsidRDefault="008423E4" w:rsidP="00BE3158">
      <w:pPr>
        <w:jc w:val="center"/>
      </w:pPr>
    </w:p>
    <w:p w14:paraId="388DC097" w14:textId="77777777" w:rsidR="008423E4" w:rsidRPr="00B31F0E" w:rsidRDefault="008423E4" w:rsidP="00BE3158"/>
    <w:p w14:paraId="31222498" w14:textId="77777777" w:rsidR="008423E4" w:rsidRPr="00742794" w:rsidRDefault="008423E4" w:rsidP="00BE315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7CDA" w14:paraId="60B406E2" w14:textId="77777777" w:rsidTr="00345119">
        <w:tc>
          <w:tcPr>
            <w:tcW w:w="9576" w:type="dxa"/>
          </w:tcPr>
          <w:p w14:paraId="05E2967E" w14:textId="4FFFE248" w:rsidR="008423E4" w:rsidRPr="00861995" w:rsidRDefault="00276063" w:rsidP="00BE3158">
            <w:pPr>
              <w:jc w:val="right"/>
            </w:pPr>
            <w:r>
              <w:t>C.S.H.B. 11</w:t>
            </w:r>
          </w:p>
        </w:tc>
      </w:tr>
      <w:tr w:rsidR="00717CDA" w14:paraId="3ECBAA2A" w14:textId="77777777" w:rsidTr="00345119">
        <w:tc>
          <w:tcPr>
            <w:tcW w:w="9576" w:type="dxa"/>
          </w:tcPr>
          <w:p w14:paraId="75790542" w14:textId="3E8140DB" w:rsidR="008423E4" w:rsidRPr="00861995" w:rsidRDefault="00276063" w:rsidP="00505BC5">
            <w:pPr>
              <w:jc w:val="right"/>
            </w:pPr>
            <w:r>
              <w:t xml:space="preserve">By: </w:t>
            </w:r>
            <w:r w:rsidR="00505BC5">
              <w:t>Paddie</w:t>
            </w:r>
          </w:p>
        </w:tc>
      </w:tr>
      <w:tr w:rsidR="00717CDA" w14:paraId="496BF610" w14:textId="77777777" w:rsidTr="00345119">
        <w:tc>
          <w:tcPr>
            <w:tcW w:w="9576" w:type="dxa"/>
          </w:tcPr>
          <w:p w14:paraId="264BEA65" w14:textId="609433AC" w:rsidR="008423E4" w:rsidRPr="00861995" w:rsidRDefault="00276063" w:rsidP="00BE3158">
            <w:pPr>
              <w:jc w:val="right"/>
            </w:pPr>
            <w:r>
              <w:t>State Affairs</w:t>
            </w:r>
          </w:p>
        </w:tc>
      </w:tr>
      <w:tr w:rsidR="00717CDA" w14:paraId="18ED1003" w14:textId="77777777" w:rsidTr="00345119">
        <w:tc>
          <w:tcPr>
            <w:tcW w:w="9576" w:type="dxa"/>
          </w:tcPr>
          <w:p w14:paraId="4DCBA7B1" w14:textId="345EC45B" w:rsidR="008423E4" w:rsidRDefault="00276063" w:rsidP="00BE3158">
            <w:pPr>
              <w:jc w:val="right"/>
            </w:pPr>
            <w:r>
              <w:t>Committee Report (Substituted)</w:t>
            </w:r>
          </w:p>
        </w:tc>
      </w:tr>
    </w:tbl>
    <w:p w14:paraId="598C0D58" w14:textId="77777777" w:rsidR="008423E4" w:rsidRDefault="008423E4" w:rsidP="00BE3158">
      <w:pPr>
        <w:tabs>
          <w:tab w:val="right" w:pos="9360"/>
        </w:tabs>
      </w:pPr>
    </w:p>
    <w:p w14:paraId="6CE8C308" w14:textId="77777777" w:rsidR="008423E4" w:rsidRDefault="008423E4" w:rsidP="00BE3158"/>
    <w:p w14:paraId="388EF07C" w14:textId="77777777" w:rsidR="008423E4" w:rsidRDefault="008423E4" w:rsidP="00BE315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17CDA" w14:paraId="0E40564C" w14:textId="77777777" w:rsidTr="00345119">
        <w:tc>
          <w:tcPr>
            <w:tcW w:w="9576" w:type="dxa"/>
          </w:tcPr>
          <w:p w14:paraId="5EAC9226" w14:textId="77777777" w:rsidR="008423E4" w:rsidRPr="00A8133F" w:rsidRDefault="00276063" w:rsidP="00BE31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6F9220" w14:textId="77777777" w:rsidR="008423E4" w:rsidRDefault="008423E4" w:rsidP="00BE3158"/>
          <w:p w14:paraId="5C4592B1" w14:textId="72B3FBDE" w:rsidR="008423E4" w:rsidRDefault="00276063" w:rsidP="00BE3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February of this year,</w:t>
            </w:r>
            <w:r w:rsidRPr="002B7B76">
              <w:t xml:space="preserve"> Winter Storm Uri </w:t>
            </w:r>
            <w:r w:rsidR="00F83861">
              <w:t>hit Texas and caused</w:t>
            </w:r>
            <w:r w:rsidRPr="002B7B76">
              <w:t xml:space="preserve"> </w:t>
            </w:r>
            <w:r w:rsidR="00F83861">
              <w:t>the widespread</w:t>
            </w:r>
            <w:r w:rsidRPr="002B7B76">
              <w:t xml:space="preserve"> failure of electric power generation </w:t>
            </w:r>
            <w:r w:rsidR="00F83861">
              <w:t xml:space="preserve">facilities, </w:t>
            </w:r>
            <w:r w:rsidRPr="002B7B76">
              <w:t xml:space="preserve">which </w:t>
            </w:r>
            <w:r w:rsidRPr="002B7B76">
              <w:t>left millions of Texans without power for several days</w:t>
            </w:r>
            <w:r w:rsidR="00F83861">
              <w:t xml:space="preserve"> in freezing temperatures</w:t>
            </w:r>
            <w:r w:rsidRPr="002B7B76">
              <w:t>.</w:t>
            </w:r>
            <w:r>
              <w:t xml:space="preserve"> </w:t>
            </w:r>
            <w:r w:rsidR="00F83861">
              <w:t>There have been calls for the state to do more</w:t>
            </w:r>
            <w:r w:rsidRPr="002B7B76">
              <w:t xml:space="preserve"> to address one of the</w:t>
            </w:r>
            <w:r>
              <w:t xml:space="preserve"> </w:t>
            </w:r>
            <w:r w:rsidR="00F83861">
              <w:t xml:space="preserve">main </w:t>
            </w:r>
            <w:r>
              <w:t>c</w:t>
            </w:r>
            <w:r w:rsidRPr="002B7B76">
              <w:t>auses of th</w:t>
            </w:r>
            <w:r w:rsidR="00F83861">
              <w:t>at</w:t>
            </w:r>
            <w:r w:rsidRPr="002B7B76">
              <w:t xml:space="preserve"> failure</w:t>
            </w:r>
            <w:r w:rsidR="00F83861">
              <w:t>—</w:t>
            </w:r>
            <w:r w:rsidRPr="002B7B76">
              <w:t>the lack of weatherization at generation facilities</w:t>
            </w:r>
            <w:r w:rsidR="007A283E">
              <w:t>,</w:t>
            </w:r>
            <w:r w:rsidRPr="002B7B76">
              <w:t xml:space="preserve"> which rendered those faci</w:t>
            </w:r>
            <w:r w:rsidRPr="002B7B76">
              <w:t xml:space="preserve">lities inoperable in </w:t>
            </w:r>
            <w:r w:rsidR="00F83861">
              <w:t xml:space="preserve">the </w:t>
            </w:r>
            <w:r w:rsidRPr="002B7B76">
              <w:t xml:space="preserve">unusually cold </w:t>
            </w:r>
            <w:r w:rsidR="00F83861" w:rsidRPr="002B7B76">
              <w:t>temperatures</w:t>
            </w:r>
            <w:r w:rsidRPr="002B7B76">
              <w:t>.</w:t>
            </w:r>
            <w:r>
              <w:t xml:space="preserve"> </w:t>
            </w:r>
            <w:r w:rsidR="00F83861">
              <w:t>C.S.</w:t>
            </w:r>
            <w:r>
              <w:t>H</w:t>
            </w:r>
            <w:r w:rsidR="00F83861">
              <w:t>.</w:t>
            </w:r>
            <w:r w:rsidRPr="002B7B76">
              <w:t>B</w:t>
            </w:r>
            <w:r w:rsidR="00F83861">
              <w:t>.</w:t>
            </w:r>
            <w:r w:rsidRPr="002B7B76">
              <w:t xml:space="preserve"> 11 </w:t>
            </w:r>
            <w:r w:rsidR="00F83861">
              <w:t xml:space="preserve">seeks to answer those calls by </w:t>
            </w:r>
            <w:r w:rsidRPr="002B7B76">
              <w:t>requir</w:t>
            </w:r>
            <w:r w:rsidR="00F83861">
              <w:t>ing</w:t>
            </w:r>
            <w:r w:rsidRPr="002B7B76">
              <w:t xml:space="preserve"> </w:t>
            </w:r>
            <w:r w:rsidR="00F83861">
              <w:t>the Public Utility Commission of Texas</w:t>
            </w:r>
            <w:r w:rsidRPr="002B7B76">
              <w:t xml:space="preserve"> to </w:t>
            </w:r>
            <w:r w:rsidR="00F83861">
              <w:t>require</w:t>
            </w:r>
            <w:r w:rsidR="00F83861" w:rsidRPr="002B7B76">
              <w:t xml:space="preserve"> </w:t>
            </w:r>
            <w:r w:rsidRPr="002B7B76">
              <w:t xml:space="preserve">by rule that </w:t>
            </w:r>
            <w:r w:rsidR="00F83861">
              <w:t>each</w:t>
            </w:r>
            <w:r w:rsidRPr="002B7B76">
              <w:t xml:space="preserve"> </w:t>
            </w:r>
            <w:r w:rsidR="00F83861">
              <w:t xml:space="preserve">provider of </w:t>
            </w:r>
            <w:r w:rsidRPr="002B7B76">
              <w:t>power generat</w:t>
            </w:r>
            <w:r w:rsidR="00F83861">
              <w:t>i</w:t>
            </w:r>
            <w:r w:rsidRPr="002B7B76">
              <w:t>o</w:t>
            </w:r>
            <w:r w:rsidR="00F83861">
              <w:t>n</w:t>
            </w:r>
            <w:r w:rsidRPr="002B7B76">
              <w:t xml:space="preserve"> </w:t>
            </w:r>
            <w:r w:rsidR="008066F5">
              <w:t xml:space="preserve">and each entity </w:t>
            </w:r>
            <w:r w:rsidR="00F83861">
              <w:t>provid</w:t>
            </w:r>
            <w:r w:rsidR="008066F5">
              <w:t>ing</w:t>
            </w:r>
            <w:r w:rsidR="008410C3">
              <w:t xml:space="preserve"> transmission or distribution</w:t>
            </w:r>
            <w:r w:rsidR="00F83861">
              <w:t xml:space="preserve"> service in the ERCOT power region</w:t>
            </w:r>
            <w:r w:rsidRPr="002B7B76">
              <w:t xml:space="preserve"> prepare for extreme weather emergencies and enact policies for bringing failed generation back online</w:t>
            </w:r>
            <w:r w:rsidR="00F83861">
              <w:t xml:space="preserve"> as soon as possible</w:t>
            </w:r>
            <w:r w:rsidRPr="002B7B76">
              <w:t xml:space="preserve">.  </w:t>
            </w:r>
          </w:p>
          <w:p w14:paraId="74196B90" w14:textId="77777777" w:rsidR="008423E4" w:rsidRPr="00E26B13" w:rsidRDefault="008423E4" w:rsidP="00BE3158">
            <w:pPr>
              <w:rPr>
                <w:b/>
              </w:rPr>
            </w:pPr>
          </w:p>
        </w:tc>
      </w:tr>
      <w:tr w:rsidR="00717CDA" w14:paraId="266AC011" w14:textId="77777777" w:rsidTr="00345119">
        <w:tc>
          <w:tcPr>
            <w:tcW w:w="9576" w:type="dxa"/>
          </w:tcPr>
          <w:p w14:paraId="553B5323" w14:textId="77777777" w:rsidR="0017725B" w:rsidRDefault="00276063" w:rsidP="00BE31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F14206" w14:textId="77777777" w:rsidR="0017725B" w:rsidRDefault="0017725B" w:rsidP="00BE3158">
            <w:pPr>
              <w:rPr>
                <w:b/>
                <w:u w:val="single"/>
              </w:rPr>
            </w:pPr>
          </w:p>
          <w:p w14:paraId="457ED7FD" w14:textId="77777777" w:rsidR="00427A28" w:rsidRPr="00427A28" w:rsidRDefault="00276063" w:rsidP="00BE3158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E30EFC2" w14:textId="77777777" w:rsidR="0017725B" w:rsidRPr="0017725B" w:rsidRDefault="0017725B" w:rsidP="00BE3158">
            <w:pPr>
              <w:rPr>
                <w:b/>
                <w:u w:val="single"/>
              </w:rPr>
            </w:pPr>
          </w:p>
        </w:tc>
      </w:tr>
      <w:tr w:rsidR="00717CDA" w14:paraId="40C0EBCD" w14:textId="77777777" w:rsidTr="00345119">
        <w:tc>
          <w:tcPr>
            <w:tcW w:w="9576" w:type="dxa"/>
          </w:tcPr>
          <w:p w14:paraId="685716CD" w14:textId="77777777" w:rsidR="008423E4" w:rsidRPr="00A8133F" w:rsidRDefault="00276063" w:rsidP="00BE31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012B360" w14:textId="77777777" w:rsidR="008423E4" w:rsidRDefault="008423E4" w:rsidP="00BE3158"/>
          <w:p w14:paraId="18786236" w14:textId="69B5BC4F" w:rsidR="00427A28" w:rsidRDefault="00276063" w:rsidP="00BE3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427A28">
              <w:t xml:space="preserve">the Public Utility Commission of Texas </w:t>
            </w:r>
            <w:r>
              <w:t>in SECTION</w:t>
            </w:r>
            <w:r w:rsidR="00675F84">
              <w:t>S</w:t>
            </w:r>
            <w:r>
              <w:t xml:space="preserve"> 1 and 2 of this bill.</w:t>
            </w:r>
          </w:p>
          <w:p w14:paraId="5D5C80AA" w14:textId="77777777" w:rsidR="008423E4" w:rsidRPr="00E21FDC" w:rsidRDefault="008423E4" w:rsidP="00BE3158">
            <w:pPr>
              <w:rPr>
                <w:b/>
              </w:rPr>
            </w:pPr>
          </w:p>
        </w:tc>
      </w:tr>
      <w:tr w:rsidR="00717CDA" w14:paraId="039AC2CC" w14:textId="77777777" w:rsidTr="00345119">
        <w:tc>
          <w:tcPr>
            <w:tcW w:w="9576" w:type="dxa"/>
          </w:tcPr>
          <w:p w14:paraId="4422DC7B" w14:textId="77777777" w:rsidR="008423E4" w:rsidRPr="00A8133F" w:rsidRDefault="00276063" w:rsidP="00BE31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713FB1" w14:textId="77777777" w:rsidR="008423E4" w:rsidRDefault="008423E4" w:rsidP="00BE3158"/>
          <w:p w14:paraId="7BA51714" w14:textId="546AD9F2" w:rsidR="00950DA2" w:rsidRDefault="00276063" w:rsidP="00BE3158">
            <w:pPr>
              <w:pStyle w:val="Header"/>
              <w:jc w:val="both"/>
            </w:pPr>
            <w:r>
              <w:t xml:space="preserve">C.S.H.B. 11 amends the Utilities Code to require </w:t>
            </w:r>
            <w:r w:rsidRPr="00950DA2">
              <w:t>the Public Utility Commission of Texa</w:t>
            </w:r>
            <w:r>
              <w:t xml:space="preserve">s </w:t>
            </w:r>
            <w:r w:rsidR="00427A28">
              <w:t>(PUC)</w:t>
            </w:r>
            <w:r w:rsidR="00565D36">
              <w:t>,</w:t>
            </w:r>
            <w:r w:rsidR="00427A28">
              <w:t xml:space="preserve"> </w:t>
            </w:r>
            <w:r>
              <w:t xml:space="preserve">by rule </w:t>
            </w:r>
            <w:r w:rsidR="00427A28">
              <w:t xml:space="preserve">and </w:t>
            </w:r>
            <w:r w:rsidR="00427A28" w:rsidRPr="00427A28">
              <w:t>n</w:t>
            </w:r>
            <w:r w:rsidR="00427A28">
              <w:t>ot later than November 1, 202</w:t>
            </w:r>
            <w:r w:rsidR="00D35FF3">
              <w:t>1</w:t>
            </w:r>
            <w:r w:rsidR="00427A28">
              <w:t xml:space="preserve">, </w:t>
            </w:r>
            <w:r>
              <w:t xml:space="preserve">to require each provider of </w:t>
            </w:r>
            <w:r w:rsidR="00EF5A93">
              <w:t>generation,</w:t>
            </w:r>
            <w:r w:rsidR="008410C3">
              <w:t xml:space="preserve"> and each</w:t>
            </w:r>
            <w:r w:rsidR="00EF5A93">
              <w:t xml:space="preserve"> electric cooperative, municipally owned utility, and transmission and distribution utility providing transmission or distribution service</w:t>
            </w:r>
            <w:r w:rsidR="008410C3">
              <w:t>,</w:t>
            </w:r>
            <w:r w:rsidR="00EF5A93">
              <w:t xml:space="preserve"> in the </w:t>
            </w:r>
            <w:r>
              <w:t>ERCOT</w:t>
            </w:r>
            <w:r>
              <w:t xml:space="preserve"> power region to do the following</w:t>
            </w:r>
            <w:r w:rsidR="00150995">
              <w:t>:</w:t>
            </w:r>
          </w:p>
          <w:p w14:paraId="077359CC" w14:textId="6C5531E5" w:rsidR="00950DA2" w:rsidRDefault="00276063" w:rsidP="00BE315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implement measures to prepare facilities to provide adequate electric generation service</w:t>
            </w:r>
            <w:r w:rsidR="00150995">
              <w:t xml:space="preserve"> and to maintain service quality and reliability, as applicable,</w:t>
            </w:r>
            <w:r>
              <w:t xml:space="preserve"> during an extreme weather emergency;</w:t>
            </w:r>
          </w:p>
          <w:p w14:paraId="6F48A094" w14:textId="270B0DBD" w:rsidR="00950DA2" w:rsidRDefault="00276063" w:rsidP="00BE315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make reasonable efforts to prev</w:t>
            </w:r>
            <w:r>
              <w:t xml:space="preserve">ent </w:t>
            </w:r>
            <w:r w:rsidR="00D35FF3">
              <w:t xml:space="preserve">service </w:t>
            </w:r>
            <w:r>
              <w:t>interruptions during an extreme weather emergency;</w:t>
            </w:r>
          </w:p>
          <w:p w14:paraId="504533D1" w14:textId="33B8D47F" w:rsidR="00950DA2" w:rsidRDefault="00276063" w:rsidP="00BE315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reestablish service in the shortest possible time</w:t>
            </w:r>
            <w:r w:rsidR="00D35FF3">
              <w:t xml:space="preserve"> period</w:t>
            </w:r>
            <w:r>
              <w:t xml:space="preserve"> </w:t>
            </w:r>
            <w:r w:rsidR="00D35FF3">
              <w:t xml:space="preserve">after </w:t>
            </w:r>
            <w:r>
              <w:t xml:space="preserve">a </w:t>
            </w:r>
            <w:r w:rsidR="00D35FF3">
              <w:t xml:space="preserve">service </w:t>
            </w:r>
            <w:r>
              <w:t>interruption occur</w:t>
            </w:r>
            <w:r w:rsidR="007A283E">
              <w:t>s</w:t>
            </w:r>
            <w:r>
              <w:t xml:space="preserve"> due to an extreme weather emergency; and</w:t>
            </w:r>
          </w:p>
          <w:p w14:paraId="09E1C20E" w14:textId="1DE57E35" w:rsidR="009A3943" w:rsidRDefault="00276063" w:rsidP="00BE315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make reasonable efforts to manage emergencies </w:t>
            </w:r>
            <w:r w:rsidR="00D35FF3">
              <w:t>caused by</w:t>
            </w:r>
            <w:r>
              <w:t xml:space="preserve"> ser</w:t>
            </w:r>
            <w:r>
              <w:t xml:space="preserve">vice </w:t>
            </w:r>
            <w:r w:rsidR="00D35FF3">
              <w:t>interruptions during</w:t>
            </w:r>
            <w:r>
              <w:t xml:space="preserve"> extreme weather emergenc</w:t>
            </w:r>
            <w:r w:rsidR="00D35FF3">
              <w:t>ies</w:t>
            </w:r>
            <w:r>
              <w:t>.</w:t>
            </w:r>
          </w:p>
          <w:p w14:paraId="34DE407E" w14:textId="3A9A34BD" w:rsidR="00950DA2" w:rsidRPr="009C36CD" w:rsidRDefault="00276063" w:rsidP="00BE3158">
            <w:pPr>
              <w:pStyle w:val="Header"/>
              <w:jc w:val="both"/>
            </w:pPr>
            <w:r>
              <w:t xml:space="preserve">The bill </w:t>
            </w:r>
            <w:r w:rsidR="00D51990">
              <w:t>describes</w:t>
            </w:r>
            <w:r w:rsidR="00675F84">
              <w:t xml:space="preserve"> </w:t>
            </w:r>
            <w:r w:rsidR="00D35FF3">
              <w:t xml:space="preserve">what constitutes </w:t>
            </w:r>
            <w:r w:rsidR="008F3DE1">
              <w:t xml:space="preserve">an </w:t>
            </w:r>
            <w:r w:rsidR="000A2D60">
              <w:t>"extreme weather emergency</w:t>
            </w:r>
            <w:r w:rsidR="00150995">
              <w:t>"</w:t>
            </w:r>
            <w:r w:rsidR="000A2D60">
              <w:t xml:space="preserve"> and </w:t>
            </w:r>
            <w:r w:rsidR="00D35FF3">
              <w:t xml:space="preserve">requires </w:t>
            </w:r>
            <w:r w:rsidR="000A2D60">
              <w:t xml:space="preserve">the rules adopted by the PUC </w:t>
            </w:r>
            <w:r w:rsidR="00D35FF3">
              <w:t>to address electric generation service</w:t>
            </w:r>
            <w:r w:rsidR="000A2D60">
              <w:t xml:space="preserve"> </w:t>
            </w:r>
            <w:r w:rsidR="00D35FF3">
              <w:t xml:space="preserve">for all </w:t>
            </w:r>
            <w:r w:rsidR="000A2D60">
              <w:t>neighborhood</w:t>
            </w:r>
            <w:r w:rsidR="00D35FF3">
              <w:t>s,</w:t>
            </w:r>
            <w:r w:rsidR="000A2D60">
              <w:t xml:space="preserve"> rural areas, communities of </w:t>
            </w:r>
            <w:r w:rsidR="00D35FF3">
              <w:t xml:space="preserve">fewer </w:t>
            </w:r>
            <w:r w:rsidR="000A2D60">
              <w:t>than 1</w:t>
            </w:r>
            <w:r w:rsidR="00675F84">
              <w:t>,</w:t>
            </w:r>
            <w:r w:rsidR="000A2D60">
              <w:t>000 people, and low-income areas</w:t>
            </w:r>
            <w:r w:rsidR="00D35FF3">
              <w:t xml:space="preserve"> in the ERCOT power region</w:t>
            </w:r>
            <w:r w:rsidR="000A2D60">
              <w:t>.</w:t>
            </w:r>
          </w:p>
          <w:p w14:paraId="4D5CFE76" w14:textId="77777777" w:rsidR="008423E4" w:rsidRPr="00835628" w:rsidRDefault="008423E4" w:rsidP="00BE3158">
            <w:pPr>
              <w:rPr>
                <w:b/>
              </w:rPr>
            </w:pPr>
          </w:p>
        </w:tc>
      </w:tr>
      <w:tr w:rsidR="00717CDA" w14:paraId="5FFCB072" w14:textId="77777777" w:rsidTr="00345119">
        <w:tc>
          <w:tcPr>
            <w:tcW w:w="9576" w:type="dxa"/>
          </w:tcPr>
          <w:p w14:paraId="632FBBFD" w14:textId="77777777" w:rsidR="008423E4" w:rsidRPr="00A8133F" w:rsidRDefault="00276063" w:rsidP="00BE31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4BB55F" w14:textId="77777777" w:rsidR="008423E4" w:rsidRDefault="008423E4" w:rsidP="00BE3158"/>
          <w:p w14:paraId="2879DCE6" w14:textId="77777777" w:rsidR="008423E4" w:rsidRPr="003624F2" w:rsidRDefault="00276063" w:rsidP="00BE3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61C1FCC" w14:textId="77777777" w:rsidR="008423E4" w:rsidRPr="00233FDB" w:rsidRDefault="008423E4" w:rsidP="00BE3158">
            <w:pPr>
              <w:rPr>
                <w:b/>
              </w:rPr>
            </w:pPr>
          </w:p>
        </w:tc>
      </w:tr>
      <w:tr w:rsidR="00717CDA" w14:paraId="1457F827" w14:textId="77777777" w:rsidTr="00345119">
        <w:tc>
          <w:tcPr>
            <w:tcW w:w="9576" w:type="dxa"/>
          </w:tcPr>
          <w:p w14:paraId="58D232D3" w14:textId="77777777" w:rsidR="00505BC5" w:rsidRDefault="00276063" w:rsidP="00505B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9C92331" w14:textId="6AAF0EA8" w:rsidR="002F36E5" w:rsidRPr="00505BC5" w:rsidRDefault="002F36E5" w:rsidP="00505BC5">
            <w:pPr>
              <w:jc w:val="both"/>
              <w:rPr>
                <w:b/>
                <w:u w:val="single"/>
              </w:rPr>
            </w:pPr>
          </w:p>
        </w:tc>
      </w:tr>
      <w:tr w:rsidR="00717CDA" w14:paraId="6D9DB1F0" w14:textId="77777777" w:rsidTr="00345119">
        <w:tc>
          <w:tcPr>
            <w:tcW w:w="9576" w:type="dxa"/>
          </w:tcPr>
          <w:p w14:paraId="693F6E6B" w14:textId="77777777" w:rsidR="00161E5A" w:rsidRDefault="00276063" w:rsidP="00161E5A">
            <w:pPr>
              <w:jc w:val="both"/>
            </w:pPr>
            <w:r>
              <w:t>While C.S.H.B</w:t>
            </w:r>
            <w:r>
              <w:t>. 11 may differ from the original in minor or nonsubstantive ways, the following summarizes the substantial differences between the introduced and committee substitute versions of the bill.</w:t>
            </w:r>
          </w:p>
          <w:p w14:paraId="417BE526" w14:textId="77777777" w:rsidR="00161E5A" w:rsidRDefault="00161E5A" w:rsidP="00161E5A">
            <w:pPr>
              <w:jc w:val="both"/>
            </w:pPr>
          </w:p>
          <w:p w14:paraId="2869603C" w14:textId="4912BA52" w:rsidR="00A31F38" w:rsidRPr="009C1E9A" w:rsidRDefault="00276063" w:rsidP="00161E5A">
            <w:pPr>
              <w:rPr>
                <w:b/>
                <w:u w:val="single"/>
              </w:rPr>
            </w:pPr>
            <w:r>
              <w:t>The substitute changes the deadline for the PUC to adopt the rule</w:t>
            </w:r>
            <w:r>
              <w:t>s from November 1, 2020, to November 1, 2021.</w:t>
            </w:r>
          </w:p>
        </w:tc>
      </w:tr>
      <w:tr w:rsidR="00717CDA" w14:paraId="3830BA6F" w14:textId="77777777" w:rsidTr="00345119">
        <w:tc>
          <w:tcPr>
            <w:tcW w:w="9576" w:type="dxa"/>
          </w:tcPr>
          <w:p w14:paraId="54360A29" w14:textId="77777777" w:rsidR="00A31F38" w:rsidRPr="00505BC5" w:rsidRDefault="00A31F38" w:rsidP="00505BC5">
            <w:pPr>
              <w:spacing w:line="480" w:lineRule="auto"/>
              <w:jc w:val="both"/>
            </w:pPr>
          </w:p>
        </w:tc>
      </w:tr>
      <w:tr w:rsidR="00717CDA" w14:paraId="30B3DCED" w14:textId="77777777" w:rsidTr="00345119">
        <w:tc>
          <w:tcPr>
            <w:tcW w:w="9576" w:type="dxa"/>
          </w:tcPr>
          <w:p w14:paraId="36853E4D" w14:textId="77777777" w:rsidR="00505BC5" w:rsidRPr="00A31F38" w:rsidRDefault="00505BC5" w:rsidP="00BE3158">
            <w:pPr>
              <w:jc w:val="both"/>
            </w:pPr>
          </w:p>
        </w:tc>
      </w:tr>
      <w:tr w:rsidR="00717CDA" w14:paraId="6E7B193C" w14:textId="77777777" w:rsidTr="00345119">
        <w:tc>
          <w:tcPr>
            <w:tcW w:w="9576" w:type="dxa"/>
          </w:tcPr>
          <w:p w14:paraId="65399E4F" w14:textId="77777777" w:rsidR="00505BC5" w:rsidRPr="00A31F38" w:rsidRDefault="00505BC5" w:rsidP="00BE3158">
            <w:pPr>
              <w:jc w:val="both"/>
            </w:pPr>
          </w:p>
        </w:tc>
      </w:tr>
      <w:tr w:rsidR="00717CDA" w14:paraId="4D82C207" w14:textId="77777777" w:rsidTr="00345119">
        <w:tc>
          <w:tcPr>
            <w:tcW w:w="9576" w:type="dxa"/>
          </w:tcPr>
          <w:p w14:paraId="5677D066" w14:textId="77777777" w:rsidR="00505BC5" w:rsidRPr="00A31F38" w:rsidRDefault="00505BC5" w:rsidP="00BE3158">
            <w:pPr>
              <w:jc w:val="both"/>
            </w:pPr>
          </w:p>
        </w:tc>
      </w:tr>
    </w:tbl>
    <w:p w14:paraId="2430967B" w14:textId="77777777" w:rsidR="004108C3" w:rsidRPr="008423E4" w:rsidRDefault="004108C3" w:rsidP="00BE315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2358" w14:textId="77777777" w:rsidR="00000000" w:rsidRDefault="00276063">
      <w:r>
        <w:separator/>
      </w:r>
    </w:p>
  </w:endnote>
  <w:endnote w:type="continuationSeparator" w:id="0">
    <w:p w14:paraId="4B9216A6" w14:textId="77777777" w:rsidR="00000000" w:rsidRDefault="0027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4ACC" w14:textId="77777777" w:rsidR="00A07305" w:rsidRDefault="00A0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7CDA" w14:paraId="30003B87" w14:textId="77777777" w:rsidTr="009C1E9A">
      <w:trPr>
        <w:cantSplit/>
      </w:trPr>
      <w:tc>
        <w:tcPr>
          <w:tcW w:w="0" w:type="pct"/>
        </w:tcPr>
        <w:p w14:paraId="79865C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88F4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22E5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C8B2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688D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7CDA" w14:paraId="655E5BB2" w14:textId="77777777" w:rsidTr="009C1E9A">
      <w:trPr>
        <w:cantSplit/>
      </w:trPr>
      <w:tc>
        <w:tcPr>
          <w:tcW w:w="0" w:type="pct"/>
        </w:tcPr>
        <w:p w14:paraId="13F86B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2DF1B6" w14:textId="1FE9362E" w:rsidR="00EC379B" w:rsidRPr="009C1E9A" w:rsidRDefault="002760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16626</w:t>
          </w:r>
        </w:p>
      </w:tc>
      <w:tc>
        <w:tcPr>
          <w:tcW w:w="2453" w:type="pct"/>
        </w:tcPr>
        <w:p w14:paraId="499E9F9E" w14:textId="16007269" w:rsidR="00EC379B" w:rsidRDefault="002760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07305">
            <w:t>21.81.730</w:t>
          </w:r>
          <w:r>
            <w:fldChar w:fldCharType="end"/>
          </w:r>
        </w:p>
      </w:tc>
    </w:tr>
    <w:tr w:rsidR="00717CDA" w14:paraId="28441455" w14:textId="77777777" w:rsidTr="009C1E9A">
      <w:trPr>
        <w:cantSplit/>
      </w:trPr>
      <w:tc>
        <w:tcPr>
          <w:tcW w:w="0" w:type="pct"/>
        </w:tcPr>
        <w:p w14:paraId="6FF099B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45404A" w14:textId="7E8038C9" w:rsidR="00EC379B" w:rsidRPr="009C1E9A" w:rsidRDefault="002760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16125</w:t>
          </w:r>
        </w:p>
      </w:tc>
      <w:tc>
        <w:tcPr>
          <w:tcW w:w="2453" w:type="pct"/>
        </w:tcPr>
        <w:p w14:paraId="07C0563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B73A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7CDA" w14:paraId="0FB744A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CCC6A3" w14:textId="176D851F" w:rsidR="00EC379B" w:rsidRDefault="002760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A097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8ED39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D14AD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9147" w14:textId="77777777" w:rsidR="00A07305" w:rsidRDefault="00A0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CD4E" w14:textId="77777777" w:rsidR="00000000" w:rsidRDefault="00276063">
      <w:r>
        <w:separator/>
      </w:r>
    </w:p>
  </w:footnote>
  <w:footnote w:type="continuationSeparator" w:id="0">
    <w:p w14:paraId="3ADD8BB4" w14:textId="77777777" w:rsidR="00000000" w:rsidRDefault="0027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794C" w14:textId="77777777" w:rsidR="00A07305" w:rsidRDefault="00A07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91B0" w14:textId="77777777" w:rsidR="00A07305" w:rsidRDefault="00A07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0E8E" w14:textId="77777777" w:rsidR="00A07305" w:rsidRDefault="00A0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208F3"/>
    <w:multiLevelType w:val="hybridMultilevel"/>
    <w:tmpl w:val="19760AF4"/>
    <w:lvl w:ilvl="0" w:tplc="4D10C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6D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86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6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CA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81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6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C7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01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7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D60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F21"/>
    <w:rsid w:val="001268F9"/>
    <w:rsid w:val="00127893"/>
    <w:rsid w:val="001312BB"/>
    <w:rsid w:val="00137D90"/>
    <w:rsid w:val="00141FB6"/>
    <w:rsid w:val="00142F8E"/>
    <w:rsid w:val="00143C8B"/>
    <w:rsid w:val="00147530"/>
    <w:rsid w:val="00150995"/>
    <w:rsid w:val="0015331F"/>
    <w:rsid w:val="00156AB2"/>
    <w:rsid w:val="00160402"/>
    <w:rsid w:val="00160571"/>
    <w:rsid w:val="00161E5A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1B0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063"/>
    <w:rsid w:val="00277434"/>
    <w:rsid w:val="00280123"/>
    <w:rsid w:val="00281343"/>
    <w:rsid w:val="00281883"/>
    <w:rsid w:val="002835FC"/>
    <w:rsid w:val="002874E3"/>
    <w:rsid w:val="00287656"/>
    <w:rsid w:val="00291518"/>
    <w:rsid w:val="00296FF0"/>
    <w:rsid w:val="002A0976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76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36E5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80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A28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549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BC5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D36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227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5F84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06E"/>
    <w:rsid w:val="00717570"/>
    <w:rsid w:val="00717739"/>
    <w:rsid w:val="00717CDA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83E"/>
    <w:rsid w:val="007A331F"/>
    <w:rsid w:val="007A3844"/>
    <w:rsid w:val="007A4381"/>
    <w:rsid w:val="007A5466"/>
    <w:rsid w:val="007A7EC1"/>
    <w:rsid w:val="007B265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6F5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0C3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372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DE1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DA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0E9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4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305"/>
    <w:rsid w:val="00A07689"/>
    <w:rsid w:val="00A07906"/>
    <w:rsid w:val="00A10908"/>
    <w:rsid w:val="00A12330"/>
    <w:rsid w:val="00A1259F"/>
    <w:rsid w:val="00A1446F"/>
    <w:rsid w:val="00A14FB0"/>
    <w:rsid w:val="00A151B5"/>
    <w:rsid w:val="00A220FF"/>
    <w:rsid w:val="00A227E0"/>
    <w:rsid w:val="00A232E4"/>
    <w:rsid w:val="00A24AAD"/>
    <w:rsid w:val="00A26A8A"/>
    <w:rsid w:val="00A27255"/>
    <w:rsid w:val="00A31F38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C1D"/>
    <w:rsid w:val="00BE3158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8C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490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E79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FF3"/>
    <w:rsid w:val="00D37BCF"/>
    <w:rsid w:val="00D40F93"/>
    <w:rsid w:val="00D42277"/>
    <w:rsid w:val="00D43C59"/>
    <w:rsid w:val="00D44ADE"/>
    <w:rsid w:val="00D50D65"/>
    <w:rsid w:val="00D512E0"/>
    <w:rsid w:val="00D5199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1A3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10A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AAB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93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934"/>
    <w:rsid w:val="00F6514B"/>
    <w:rsid w:val="00F6587F"/>
    <w:rsid w:val="00F67981"/>
    <w:rsid w:val="00F706CA"/>
    <w:rsid w:val="00F70F8D"/>
    <w:rsid w:val="00F71C5A"/>
    <w:rsid w:val="00F733A4"/>
    <w:rsid w:val="00F75429"/>
    <w:rsid w:val="00F7758F"/>
    <w:rsid w:val="00F82811"/>
    <w:rsid w:val="00F8386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E2C2C3-3C0D-4DE2-9C0D-B090206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7A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7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7A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7A28"/>
    <w:rPr>
      <w:b/>
      <w:bCs/>
    </w:rPr>
  </w:style>
  <w:style w:type="character" w:styleId="Hyperlink">
    <w:name w:val="Hyperlink"/>
    <w:basedOn w:val="DefaultParagraphFont"/>
    <w:unhideWhenUsed/>
    <w:rsid w:val="00675F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65D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31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2573</Characters>
  <Application>Microsoft Office Word</Application>
  <DocSecurity>4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HB00011 (Committee Report (Substituted))</vt:lpstr>
    </vt:vector>
  </TitlesOfParts>
  <Company>State of Texas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16626</dc:subject>
  <dc:creator>State of Texas</dc:creator>
  <dc:description>HB 11 by Paddie-(H)State Affairs (Substitute Document Number: 87R 16125)</dc:description>
  <cp:lastModifiedBy>Emma Bodisch</cp:lastModifiedBy>
  <cp:revision>2</cp:revision>
  <cp:lastPrinted>2003-11-26T17:21:00Z</cp:lastPrinted>
  <dcterms:created xsi:type="dcterms:W3CDTF">2021-03-23T21:34:00Z</dcterms:created>
  <dcterms:modified xsi:type="dcterms:W3CDTF">2021-03-23T21:34:00Z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21.81.730</vt:lpwstr>
  </property>
</Properties>
</file>