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602B8" w14:paraId="0F88991F" w14:textId="77777777" w:rsidTr="00345119">
        <w:tc>
          <w:tcPr>
            <w:tcW w:w="9576" w:type="dxa"/>
            <w:noWrap/>
          </w:tcPr>
          <w:p w14:paraId="6F82FF49" w14:textId="77777777" w:rsidR="008423E4" w:rsidRPr="0022177D" w:rsidRDefault="00107157" w:rsidP="0039712D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666E8A5" w14:textId="77777777" w:rsidR="008423E4" w:rsidRPr="0022177D" w:rsidRDefault="008423E4" w:rsidP="0039712D">
      <w:pPr>
        <w:jc w:val="center"/>
      </w:pPr>
    </w:p>
    <w:p w14:paraId="34F7C621" w14:textId="77777777" w:rsidR="008423E4" w:rsidRPr="00B31F0E" w:rsidRDefault="008423E4" w:rsidP="0039712D"/>
    <w:p w14:paraId="20789EB5" w14:textId="77777777" w:rsidR="008423E4" w:rsidRPr="00742794" w:rsidRDefault="008423E4" w:rsidP="0039712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602B8" w14:paraId="4F6A3BE8" w14:textId="77777777" w:rsidTr="00345119">
        <w:tc>
          <w:tcPr>
            <w:tcW w:w="9576" w:type="dxa"/>
          </w:tcPr>
          <w:p w14:paraId="4E6D3A81" w14:textId="7FED759C" w:rsidR="008423E4" w:rsidRPr="00861995" w:rsidRDefault="00107157" w:rsidP="0039712D">
            <w:pPr>
              <w:jc w:val="right"/>
            </w:pPr>
            <w:r>
              <w:t>C.S.H.B. 13</w:t>
            </w:r>
          </w:p>
        </w:tc>
      </w:tr>
      <w:tr w:rsidR="004602B8" w14:paraId="5AB7C533" w14:textId="77777777" w:rsidTr="00345119">
        <w:tc>
          <w:tcPr>
            <w:tcW w:w="9576" w:type="dxa"/>
          </w:tcPr>
          <w:p w14:paraId="39891357" w14:textId="05DD5DEB" w:rsidR="008423E4" w:rsidRPr="00861995" w:rsidRDefault="00107157" w:rsidP="001F6A69">
            <w:pPr>
              <w:jc w:val="right"/>
            </w:pPr>
            <w:r>
              <w:t xml:space="preserve">By: </w:t>
            </w:r>
            <w:r w:rsidR="001F6A69">
              <w:t>Paddie</w:t>
            </w:r>
          </w:p>
        </w:tc>
      </w:tr>
      <w:tr w:rsidR="004602B8" w14:paraId="5E65B609" w14:textId="77777777" w:rsidTr="00345119">
        <w:tc>
          <w:tcPr>
            <w:tcW w:w="9576" w:type="dxa"/>
          </w:tcPr>
          <w:p w14:paraId="57151223" w14:textId="6255026C" w:rsidR="008423E4" w:rsidRPr="00861995" w:rsidRDefault="00107157" w:rsidP="0039712D">
            <w:pPr>
              <w:jc w:val="right"/>
            </w:pPr>
            <w:r>
              <w:t>State Affairs</w:t>
            </w:r>
          </w:p>
        </w:tc>
      </w:tr>
      <w:tr w:rsidR="004602B8" w14:paraId="0A198FF1" w14:textId="77777777" w:rsidTr="00345119">
        <w:tc>
          <w:tcPr>
            <w:tcW w:w="9576" w:type="dxa"/>
          </w:tcPr>
          <w:p w14:paraId="7F0551A1" w14:textId="47DCCAE8" w:rsidR="008423E4" w:rsidRDefault="00107157" w:rsidP="0039712D">
            <w:pPr>
              <w:jc w:val="right"/>
            </w:pPr>
            <w:r>
              <w:t>Committee Report (Substituted)</w:t>
            </w:r>
          </w:p>
        </w:tc>
      </w:tr>
    </w:tbl>
    <w:p w14:paraId="11B3CD2C" w14:textId="77777777" w:rsidR="008423E4" w:rsidRDefault="008423E4" w:rsidP="0039712D">
      <w:pPr>
        <w:tabs>
          <w:tab w:val="right" w:pos="9360"/>
        </w:tabs>
      </w:pPr>
    </w:p>
    <w:p w14:paraId="39D2C270" w14:textId="77777777" w:rsidR="008423E4" w:rsidRDefault="008423E4" w:rsidP="0039712D"/>
    <w:p w14:paraId="657A1807" w14:textId="77777777" w:rsidR="008423E4" w:rsidRDefault="008423E4" w:rsidP="0039712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602B8" w14:paraId="2F25D39A" w14:textId="77777777" w:rsidTr="00345119">
        <w:tc>
          <w:tcPr>
            <w:tcW w:w="9576" w:type="dxa"/>
          </w:tcPr>
          <w:p w14:paraId="17F8C07A" w14:textId="77777777" w:rsidR="008423E4" w:rsidRPr="00A8133F" w:rsidRDefault="00107157" w:rsidP="0039712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FCCC6E" w14:textId="77777777" w:rsidR="008423E4" w:rsidRDefault="008423E4" w:rsidP="0039712D"/>
          <w:p w14:paraId="012E1B0E" w14:textId="77777777" w:rsidR="008423E4" w:rsidRDefault="00107157" w:rsidP="00397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 February of this year,</w:t>
            </w:r>
            <w:r w:rsidRPr="00005C93">
              <w:t xml:space="preserve"> Winter Storm Uri</w:t>
            </w:r>
            <w:r>
              <w:t xml:space="preserve"> struck Texas and paralyzed the state's </w:t>
            </w:r>
            <w:r w:rsidR="00E51214">
              <w:t>electric</w:t>
            </w:r>
            <w:r>
              <w:t xml:space="preserve"> grid, leaving millions of Texans without </w:t>
            </w:r>
            <w:r w:rsidR="00E51214">
              <w:t>power</w:t>
            </w:r>
            <w:r>
              <w:t xml:space="preserve"> for upwards of a week in frigid weather.</w:t>
            </w:r>
            <w:r w:rsidRPr="00005C93">
              <w:t xml:space="preserve"> </w:t>
            </w:r>
            <w:r>
              <w:t xml:space="preserve">This storm and its aftermath </w:t>
            </w:r>
            <w:r w:rsidRPr="00005C93">
              <w:t>highlighted the need for greater coordination and communication between electric utilities, the natural gas industry</w:t>
            </w:r>
            <w:r>
              <w:t>,</w:t>
            </w:r>
            <w:r w:rsidRPr="00005C93">
              <w:t xml:space="preserve"> and their regulators to prevent </w:t>
            </w:r>
            <w:r>
              <w:t xml:space="preserve">these long-lasting </w:t>
            </w:r>
            <w:r w:rsidRPr="00005C93">
              <w:t>power outages.</w:t>
            </w:r>
            <w:r>
              <w:t xml:space="preserve"> C</w:t>
            </w:r>
            <w:r>
              <w:t>.S.H.</w:t>
            </w:r>
            <w:r w:rsidRPr="00005C93">
              <w:t>B</w:t>
            </w:r>
            <w:r>
              <w:t>.</w:t>
            </w:r>
            <w:r w:rsidRPr="00005C93">
              <w:t xml:space="preserve"> 13 </w:t>
            </w:r>
            <w:r>
              <w:t xml:space="preserve">seeks to </w:t>
            </w:r>
            <w:r w:rsidR="00E51214">
              <w:t xml:space="preserve">address this need by </w:t>
            </w:r>
            <w:r>
              <w:t>establish</w:t>
            </w:r>
            <w:r w:rsidR="00E51214">
              <w:t>ing</w:t>
            </w:r>
            <w:r w:rsidRPr="00005C93">
              <w:t xml:space="preserve"> the Texas Energy Disaster Reliability Council </w:t>
            </w:r>
            <w:r>
              <w:t>to help prevent interruptions in electric service lasting more than 24 hours caused by a disaster.</w:t>
            </w:r>
            <w:r w:rsidR="00520158">
              <w:t xml:space="preserve">  </w:t>
            </w:r>
          </w:p>
          <w:p w14:paraId="092D6FC7" w14:textId="1E42BBDF" w:rsidR="00E162FA" w:rsidRPr="00E26B13" w:rsidRDefault="00E162FA" w:rsidP="0039712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602B8" w14:paraId="25EC46D7" w14:textId="77777777" w:rsidTr="00345119">
        <w:tc>
          <w:tcPr>
            <w:tcW w:w="9576" w:type="dxa"/>
          </w:tcPr>
          <w:p w14:paraId="59337829" w14:textId="77777777" w:rsidR="0017725B" w:rsidRDefault="00107157" w:rsidP="0039712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695A619" w14:textId="77777777" w:rsidR="0017725B" w:rsidRDefault="0017725B" w:rsidP="0039712D">
            <w:pPr>
              <w:rPr>
                <w:b/>
                <w:u w:val="single"/>
              </w:rPr>
            </w:pPr>
          </w:p>
          <w:p w14:paraId="5611C175" w14:textId="77777777" w:rsidR="00E8305C" w:rsidRPr="00E8305C" w:rsidRDefault="00107157" w:rsidP="0039712D">
            <w:pPr>
              <w:jc w:val="both"/>
            </w:pPr>
            <w:r>
              <w:t>It is the committee's opinio</w:t>
            </w:r>
            <w:r>
              <w:t>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2377E13" w14:textId="77777777" w:rsidR="0017725B" w:rsidRPr="0017725B" w:rsidRDefault="0017725B" w:rsidP="0039712D">
            <w:pPr>
              <w:rPr>
                <w:b/>
                <w:u w:val="single"/>
              </w:rPr>
            </w:pPr>
          </w:p>
        </w:tc>
      </w:tr>
      <w:tr w:rsidR="004602B8" w14:paraId="681E373E" w14:textId="77777777" w:rsidTr="00345119">
        <w:tc>
          <w:tcPr>
            <w:tcW w:w="9576" w:type="dxa"/>
          </w:tcPr>
          <w:p w14:paraId="746678D3" w14:textId="77777777" w:rsidR="008423E4" w:rsidRPr="00A8133F" w:rsidRDefault="00107157" w:rsidP="0039712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</w:t>
            </w:r>
            <w:r w:rsidRPr="009C1E9A">
              <w:rPr>
                <w:b/>
                <w:u w:val="single"/>
              </w:rPr>
              <w:t xml:space="preserve"> AUTHORITY</w:t>
            </w:r>
            <w:r>
              <w:rPr>
                <w:b/>
              </w:rPr>
              <w:t xml:space="preserve"> </w:t>
            </w:r>
          </w:p>
          <w:p w14:paraId="1A363BE1" w14:textId="77777777" w:rsidR="008423E4" w:rsidRDefault="008423E4" w:rsidP="0039712D"/>
          <w:p w14:paraId="2DA3D8B8" w14:textId="77777777" w:rsidR="00E8305C" w:rsidRDefault="00107157" w:rsidP="00397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1BDC43E" w14:textId="77777777" w:rsidR="008423E4" w:rsidRPr="00E21FDC" w:rsidRDefault="008423E4" w:rsidP="0039712D">
            <w:pPr>
              <w:rPr>
                <w:b/>
              </w:rPr>
            </w:pPr>
          </w:p>
        </w:tc>
      </w:tr>
      <w:tr w:rsidR="004602B8" w14:paraId="14BE60D2" w14:textId="77777777" w:rsidTr="00345119">
        <w:tc>
          <w:tcPr>
            <w:tcW w:w="9576" w:type="dxa"/>
          </w:tcPr>
          <w:p w14:paraId="6A3A329E" w14:textId="77777777" w:rsidR="008423E4" w:rsidRPr="00A8133F" w:rsidRDefault="00107157" w:rsidP="0039712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5B4DA39" w14:textId="77777777" w:rsidR="008423E4" w:rsidRDefault="008423E4" w:rsidP="0039712D"/>
          <w:p w14:paraId="16249C18" w14:textId="6B4B11D3" w:rsidR="009C36CD" w:rsidRDefault="00107157" w:rsidP="00397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107D5">
              <w:t>H.B. 13 amends the Utilities C</w:t>
            </w:r>
            <w:r w:rsidR="00E107D5" w:rsidRPr="00E107D5">
              <w:t>ode</w:t>
            </w:r>
            <w:r w:rsidR="00E107D5">
              <w:t xml:space="preserve"> to establish the </w:t>
            </w:r>
            <w:r w:rsidR="00C5534F">
              <w:t xml:space="preserve">six-member </w:t>
            </w:r>
            <w:r w:rsidR="00E107D5" w:rsidRPr="00E107D5">
              <w:t>Texas Energy Disaster Reliability Council</w:t>
            </w:r>
            <w:r w:rsidR="00E107D5">
              <w:t xml:space="preserve"> </w:t>
            </w:r>
            <w:r w:rsidR="009066A3">
              <w:t>with the following duties</w:t>
            </w:r>
            <w:r w:rsidR="00E107D5">
              <w:t>:</w:t>
            </w:r>
          </w:p>
          <w:p w14:paraId="158500F7" w14:textId="5EA2081B" w:rsidR="004F63E6" w:rsidRDefault="00107157" w:rsidP="0039712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to prevent </w:t>
            </w:r>
            <w:r w:rsidR="00601043">
              <w:t>interruption</w:t>
            </w:r>
            <w:r w:rsidR="00F22A61">
              <w:t>s</w:t>
            </w:r>
            <w:r w:rsidR="00601043">
              <w:t xml:space="preserve"> in electric service lasting more than 24 hours</w:t>
            </w:r>
            <w:r w:rsidR="00601043" w:rsidRPr="004F63E6">
              <w:t xml:space="preserve"> </w:t>
            </w:r>
            <w:r w:rsidR="00564451">
              <w:t>or</w:t>
            </w:r>
            <w:r>
              <w:t xml:space="preserve"> disaster</w:t>
            </w:r>
            <w:r w:rsidR="00F22A61">
              <w:t>s</w:t>
            </w:r>
            <w:r w:rsidR="00EF463E">
              <w:t xml:space="preserve">, as that term is defined by </w:t>
            </w:r>
            <w:r w:rsidR="00EF463E" w:rsidRPr="00EF463E">
              <w:t>the Texas Disaster Act of 1975</w:t>
            </w:r>
            <w:r>
              <w:t>;</w:t>
            </w:r>
          </w:p>
          <w:p w14:paraId="2A82B8B5" w14:textId="2179D441" w:rsidR="004F63E6" w:rsidRDefault="00107157" w:rsidP="0039712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to </w:t>
            </w:r>
            <w:r w:rsidRPr="004F63E6">
              <w:t>implement procedures to manage emergenc</w:t>
            </w:r>
            <w:r w:rsidRPr="004F63E6">
              <w:t>ies caused by</w:t>
            </w:r>
            <w:r>
              <w:t xml:space="preserve"> disaster</w:t>
            </w:r>
            <w:r w:rsidR="00580162">
              <w:t>s</w:t>
            </w:r>
            <w:r>
              <w:t>;</w:t>
            </w:r>
          </w:p>
          <w:p w14:paraId="73F4BB56" w14:textId="38F7BC73" w:rsidR="004F63E6" w:rsidRDefault="00107157" w:rsidP="0039712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to </w:t>
            </w:r>
            <w:r w:rsidRPr="004F63E6">
              <w:t>maintain records of critical infrastructure</w:t>
            </w:r>
            <w:r>
              <w:t xml:space="preserve"> </w:t>
            </w:r>
            <w:r w:rsidRPr="004F63E6">
              <w:t>facilities to maintain service in a disaster;</w:t>
            </w:r>
          </w:p>
          <w:p w14:paraId="0EC3CC4E" w14:textId="52D6AFEC" w:rsidR="004F63E6" w:rsidRDefault="00107157" w:rsidP="0039712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to coordinat</w:t>
            </w:r>
            <w:r w:rsidR="00AD7882">
              <w:t>e</w:t>
            </w:r>
            <w:r>
              <w:t xml:space="preserve"> </w:t>
            </w:r>
            <w:r w:rsidRPr="004F63E6">
              <w:t xml:space="preserve">the delivery of fuel to </w:t>
            </w:r>
            <w:r w:rsidR="004F6C55">
              <w:t>providers of electric generation service</w:t>
            </w:r>
            <w:r w:rsidRPr="004F63E6">
              <w:t xml:space="preserve"> in a disaster;</w:t>
            </w:r>
          </w:p>
          <w:p w14:paraId="08817BC5" w14:textId="5165D8E4" w:rsidR="004F63E6" w:rsidRDefault="00107157" w:rsidP="0039712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to monitor </w:t>
            </w:r>
            <w:r w:rsidRPr="004F63E6">
              <w:t xml:space="preserve">supply chains </w:t>
            </w:r>
            <w:r w:rsidR="006271D3">
              <w:t>for</w:t>
            </w:r>
            <w:r w:rsidRPr="004F63E6">
              <w:t xml:space="preserve"> the</w:t>
            </w:r>
            <w:r w:rsidR="00F22A61">
              <w:t xml:space="preserve"> </w:t>
            </w:r>
            <w:r w:rsidRPr="004F63E6">
              <w:t xml:space="preserve">electric grid </w:t>
            </w:r>
            <w:r w:rsidR="00B73BB2">
              <w:t xml:space="preserve">in Texas </w:t>
            </w:r>
            <w:r w:rsidRPr="004F63E6">
              <w:t>to</w:t>
            </w:r>
            <w:r>
              <w:t xml:space="preserve"> </w:t>
            </w:r>
            <w:r w:rsidRPr="004F63E6">
              <w:t>minimize service disruptions; and</w:t>
            </w:r>
          </w:p>
          <w:p w14:paraId="6C1CFAFF" w14:textId="2FE979E0" w:rsidR="00EF463E" w:rsidRDefault="00107157" w:rsidP="0039712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to </w:t>
            </w:r>
            <w:r w:rsidR="004F63E6">
              <w:t>study and mak</w:t>
            </w:r>
            <w:r w:rsidR="00AD7882">
              <w:t>e</w:t>
            </w:r>
            <w:r w:rsidR="004F63E6">
              <w:t xml:space="preserve"> recommendations </w:t>
            </w:r>
            <w:r w:rsidR="004F63E6" w:rsidRPr="004F63E6">
              <w:t>on methods to</w:t>
            </w:r>
            <w:r w:rsidR="004F63E6">
              <w:t xml:space="preserve"> </w:t>
            </w:r>
            <w:r w:rsidR="004F63E6" w:rsidRPr="004F63E6">
              <w:t xml:space="preserve">maintain reliability </w:t>
            </w:r>
            <w:r w:rsidR="006271D3">
              <w:t>of</w:t>
            </w:r>
            <w:r w:rsidR="006271D3" w:rsidRPr="004F63E6">
              <w:t xml:space="preserve"> </w:t>
            </w:r>
            <w:r w:rsidR="004F63E6" w:rsidRPr="004F63E6">
              <w:t>the electric grid</w:t>
            </w:r>
            <w:r w:rsidR="00F22A61">
              <w:t xml:space="preserve"> during a disaster</w:t>
            </w:r>
            <w:r w:rsidR="004F63E6" w:rsidRPr="004F63E6">
              <w:t xml:space="preserve">, including </w:t>
            </w:r>
            <w:r w:rsidR="006271D3">
              <w:t xml:space="preserve">methods for maintaining the reliability of natural </w:t>
            </w:r>
            <w:r w:rsidR="004F63E6" w:rsidRPr="004F63E6">
              <w:t>gas supply</w:t>
            </w:r>
            <w:r w:rsidR="004F63E6">
              <w:t xml:space="preserve"> </w:t>
            </w:r>
            <w:r w:rsidR="004F63E6" w:rsidRPr="004F63E6">
              <w:t>networks.</w:t>
            </w:r>
            <w:r w:rsidR="004F63E6">
              <w:t xml:space="preserve"> </w:t>
            </w:r>
          </w:p>
          <w:p w14:paraId="48342117" w14:textId="77777777" w:rsidR="004F63E6" w:rsidRDefault="004F63E6" w:rsidP="00397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59D4680" w14:textId="3BCE0F19" w:rsidR="00C5534F" w:rsidRDefault="00107157" w:rsidP="00397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</w:t>
            </w:r>
            <w:r>
              <w:t>.</w:t>
            </w:r>
            <w:r w:rsidR="004F63E6">
              <w:t>H.B. 13 sets out the composition of the council</w:t>
            </w:r>
            <w:r w:rsidR="00601043">
              <w:t>, which</w:t>
            </w:r>
            <w:r w:rsidR="004F63E6">
              <w:t xml:space="preserve"> </w:t>
            </w:r>
            <w:r>
              <w:t>is as follows:</w:t>
            </w:r>
          </w:p>
          <w:p w14:paraId="72D88F55" w14:textId="2AF54325" w:rsidR="00C5534F" w:rsidRDefault="00107157" w:rsidP="0039712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</w:t>
            </w:r>
            <w:r w:rsidR="006271D3">
              <w:t xml:space="preserve">presiding officer </w:t>
            </w:r>
            <w:r>
              <w:t xml:space="preserve">and </w:t>
            </w:r>
            <w:r w:rsidR="00B0699E">
              <w:t xml:space="preserve">the </w:t>
            </w:r>
            <w:r>
              <w:t>executive director of the Public Utility Commission of Texas (PUC);</w:t>
            </w:r>
          </w:p>
          <w:p w14:paraId="4EA2E7EE" w14:textId="12D74B1D" w:rsidR="00C5534F" w:rsidRDefault="00107157" w:rsidP="0039712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chair</w:t>
            </w:r>
            <w:r w:rsidR="00F22A61">
              <w:t>man</w:t>
            </w:r>
            <w:r>
              <w:t xml:space="preserve"> and </w:t>
            </w:r>
            <w:r w:rsidR="00B0699E">
              <w:t xml:space="preserve">the </w:t>
            </w:r>
            <w:r>
              <w:t>executive director of the Railroad Commission of Texas;</w:t>
            </w:r>
          </w:p>
          <w:p w14:paraId="491284E9" w14:textId="77777777" w:rsidR="00C5534F" w:rsidRDefault="00107157" w:rsidP="0039712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CEO of</w:t>
            </w:r>
            <w:r>
              <w:t xml:space="preserve"> the independent organization that is certified by the PUC to perform certain essential market functions for the ERCOT power region; and</w:t>
            </w:r>
          </w:p>
          <w:p w14:paraId="13ABC4DB" w14:textId="298958F7" w:rsidR="00C5534F" w:rsidRDefault="00107157" w:rsidP="0039712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the chief of the Texas Division o</w:t>
            </w:r>
            <w:r w:rsidR="00D168F5">
              <w:t>f</w:t>
            </w:r>
            <w:r>
              <w:t xml:space="preserve"> Emergency Management, who is the council's presiding officer.</w:t>
            </w:r>
          </w:p>
          <w:p w14:paraId="6900FB37" w14:textId="4B461E59" w:rsidR="008423E4" w:rsidRDefault="00107157" w:rsidP="00397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9859F9">
              <w:t xml:space="preserve">requires the council </w:t>
            </w:r>
            <w:r>
              <w:t xml:space="preserve">to </w:t>
            </w:r>
            <w:r w:rsidR="009859F9">
              <w:t xml:space="preserve">hold meetings </w:t>
            </w:r>
            <w:r w:rsidR="006271D3">
              <w:t>during</w:t>
            </w:r>
            <w:r w:rsidR="00D168F5">
              <w:t xml:space="preserve"> the weeks of </w:t>
            </w:r>
            <w:r w:rsidR="00B0699E">
              <w:t xml:space="preserve">March 1 and September 1 </w:t>
            </w:r>
            <w:r w:rsidR="00B46F3A">
              <w:t xml:space="preserve">of each year </w:t>
            </w:r>
            <w:r w:rsidR="00B0699E">
              <w:t>and</w:t>
            </w:r>
            <w:r w:rsidR="009859F9">
              <w:t xml:space="preserve"> </w:t>
            </w:r>
            <w:r w:rsidR="00B0699E">
              <w:t xml:space="preserve">also </w:t>
            </w:r>
            <w:r w:rsidR="009859F9">
              <w:t xml:space="preserve">to convene </w:t>
            </w:r>
            <w:r w:rsidR="009859F9" w:rsidRPr="009859F9">
              <w:t xml:space="preserve">as soon as reasonably possible </w:t>
            </w:r>
            <w:r w:rsidR="00262174">
              <w:t xml:space="preserve">during or </w:t>
            </w:r>
            <w:r w:rsidR="00B46F3A">
              <w:t xml:space="preserve">in anticipation of </w:t>
            </w:r>
            <w:r w:rsidR="00262174">
              <w:t xml:space="preserve">a disaster </w:t>
            </w:r>
            <w:r w:rsidR="004B1870" w:rsidRPr="004B1870">
              <w:t xml:space="preserve">to </w:t>
            </w:r>
            <w:r w:rsidR="00262174" w:rsidRPr="00262174">
              <w:t xml:space="preserve">coordinate fuel supplies and minimize the duration </w:t>
            </w:r>
            <w:r w:rsidR="00262174">
              <w:t>of</w:t>
            </w:r>
            <w:r w:rsidR="004B1870" w:rsidRPr="004B1870">
              <w:t xml:space="preserve"> an </w:t>
            </w:r>
            <w:r w:rsidR="00B46F3A">
              <w:t xml:space="preserve">actual or potential </w:t>
            </w:r>
            <w:r w:rsidR="004B1870" w:rsidRPr="004B1870">
              <w:t xml:space="preserve">extended power outage caused by </w:t>
            </w:r>
            <w:r w:rsidR="00262174">
              <w:t xml:space="preserve">the </w:t>
            </w:r>
            <w:r w:rsidR="004B1870">
              <w:t>disaster</w:t>
            </w:r>
            <w:r w:rsidR="00262174">
              <w:t>.</w:t>
            </w:r>
            <w:r w:rsidR="004B1870">
              <w:t xml:space="preserve"> </w:t>
            </w:r>
            <w:r w:rsidR="003C0BBA">
              <w:t xml:space="preserve">The bill requires </w:t>
            </w:r>
            <w:r w:rsidR="00B46F3A">
              <w:t>a public utility</w:t>
            </w:r>
            <w:r w:rsidR="003C0BBA">
              <w:t xml:space="preserve"> </w:t>
            </w:r>
            <w:r w:rsidR="003C0BBA" w:rsidRPr="003C0BBA">
              <w:t xml:space="preserve">or gas </w:t>
            </w:r>
            <w:r w:rsidR="00B46F3A">
              <w:t xml:space="preserve">provider </w:t>
            </w:r>
            <w:r w:rsidR="003C0BBA">
              <w:t xml:space="preserve">to </w:t>
            </w:r>
            <w:r w:rsidR="003C0BBA" w:rsidRPr="003C0BBA">
              <w:t xml:space="preserve">provide </w:t>
            </w:r>
            <w:r w:rsidR="00B46F3A">
              <w:t xml:space="preserve">to the council </w:t>
            </w:r>
            <w:r w:rsidR="003C0BBA" w:rsidRPr="003C0BBA">
              <w:t>any information</w:t>
            </w:r>
            <w:r w:rsidR="003C0BBA">
              <w:t xml:space="preserve"> </w:t>
            </w:r>
            <w:r w:rsidR="006231AC">
              <w:t xml:space="preserve">it </w:t>
            </w:r>
            <w:r w:rsidR="003C0BBA" w:rsidRPr="003C0BBA">
              <w:t>request</w:t>
            </w:r>
            <w:r w:rsidR="006231AC">
              <w:t>s</w:t>
            </w:r>
            <w:r w:rsidR="00F32C7E">
              <w:t>.</w:t>
            </w:r>
            <w:r w:rsidR="00B0699E">
              <w:t xml:space="preserve"> </w:t>
            </w:r>
            <w:r w:rsidR="00F32C7E">
              <w:t>The bill</w:t>
            </w:r>
            <w:r w:rsidR="003C0BBA">
              <w:t xml:space="preserve"> exempts </w:t>
            </w:r>
            <w:r w:rsidR="00510FB5">
              <w:t>the council</w:t>
            </w:r>
            <w:r w:rsidR="00B0699E">
              <w:t>'s meetings</w:t>
            </w:r>
            <w:r w:rsidR="00510FB5">
              <w:t xml:space="preserve"> </w:t>
            </w:r>
            <w:r w:rsidR="00B0699E">
              <w:t xml:space="preserve">and any information obtained or created by the council </w:t>
            </w:r>
            <w:r w:rsidR="00510FB5">
              <w:t xml:space="preserve">from </w:t>
            </w:r>
            <w:r w:rsidR="003C0BBA">
              <w:t>state open meetings law</w:t>
            </w:r>
            <w:r w:rsidR="00B0699E">
              <w:t xml:space="preserve"> and </w:t>
            </w:r>
            <w:r w:rsidR="00510FB5">
              <w:t>state public information law</w:t>
            </w:r>
            <w:r w:rsidR="00B0699E">
              <w:t>,</w:t>
            </w:r>
            <w:r w:rsidR="00510FB5">
              <w:t xml:space="preserve"> </w:t>
            </w:r>
            <w:r w:rsidR="00B0699E">
              <w:t>as applicable</w:t>
            </w:r>
            <w:r w:rsidR="00F32C7E">
              <w:t>, and</w:t>
            </w:r>
            <w:r w:rsidR="00B0699E">
              <w:t xml:space="preserve"> exempts the council from </w:t>
            </w:r>
            <w:r w:rsidR="00510FB5">
              <w:t xml:space="preserve">statutory provisions </w:t>
            </w:r>
            <w:r w:rsidR="00B0699E">
              <w:t xml:space="preserve">governing </w:t>
            </w:r>
            <w:r w:rsidR="00510FB5">
              <w:t xml:space="preserve">state agency advisory committees. </w:t>
            </w:r>
            <w:r w:rsidR="003C0BBA">
              <w:t xml:space="preserve"> </w:t>
            </w:r>
          </w:p>
          <w:p w14:paraId="65B25F9E" w14:textId="77777777" w:rsidR="00955CB6" w:rsidRDefault="00955CB6" w:rsidP="00397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70B2D28" w14:textId="5BAA84A5" w:rsidR="00955CB6" w:rsidRDefault="00107157" w:rsidP="00397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13 requires the council to submit a report to the legislature</w:t>
            </w:r>
            <w:r>
              <w:t xml:space="preserve"> </w:t>
            </w:r>
            <w:r w:rsidRPr="00955CB6">
              <w:t>on the reliability and stability of the electric supply</w:t>
            </w:r>
            <w:r>
              <w:t xml:space="preserve"> chain </w:t>
            </w:r>
            <w:r w:rsidR="00B73BB2">
              <w:t xml:space="preserve">in Texas </w:t>
            </w:r>
            <w:r>
              <w:t xml:space="preserve">not later than </w:t>
            </w:r>
            <w:r w:rsidRPr="00955CB6">
              <w:t>November 1 of each</w:t>
            </w:r>
            <w:r>
              <w:t xml:space="preserve"> </w:t>
            </w:r>
            <w:r w:rsidRPr="00955CB6">
              <w:t>even-numbered year</w:t>
            </w:r>
            <w:r>
              <w:t xml:space="preserve">. The bill requires the </w:t>
            </w:r>
            <w:r w:rsidR="00B46F3A">
              <w:t>report to include</w:t>
            </w:r>
            <w:r w:rsidRPr="00955CB6">
              <w:t xml:space="preserve"> recommendations on methods to</w:t>
            </w:r>
            <w:r>
              <w:t xml:space="preserve"> strengthen the </w:t>
            </w:r>
            <w:r w:rsidRPr="00955CB6">
              <w:t xml:space="preserve">electric supply chain and </w:t>
            </w:r>
            <w:r w:rsidRPr="00DA0305">
              <w:t>decrease</w:t>
            </w:r>
            <w:r w:rsidRPr="00955CB6">
              <w:t xml:space="preserve"> </w:t>
            </w:r>
            <w:r w:rsidR="001017ED">
              <w:t xml:space="preserve">the frequency of </w:t>
            </w:r>
            <w:r w:rsidRPr="00955CB6">
              <w:t>extended power</w:t>
            </w:r>
            <w:r>
              <w:t xml:space="preserve"> </w:t>
            </w:r>
            <w:r w:rsidRPr="00955CB6">
              <w:t>outages caused by a disaster</w:t>
            </w:r>
            <w:r w:rsidR="001017ED">
              <w:t xml:space="preserve"> in Texas</w:t>
            </w:r>
            <w:r w:rsidRPr="00955CB6">
              <w:t>.</w:t>
            </w:r>
            <w:r>
              <w:t xml:space="preserve"> The bill </w:t>
            </w:r>
            <w:r w:rsidR="00B0699E">
              <w:t>sets out state, federal, and private sector entities and individuals</w:t>
            </w:r>
            <w:r w:rsidR="00F60557">
              <w:t xml:space="preserve"> that</w:t>
            </w:r>
            <w:r w:rsidR="00B0699E">
              <w:t xml:space="preserve"> the council may consult and coordinate</w:t>
            </w:r>
            <w:r>
              <w:t xml:space="preserve"> </w:t>
            </w:r>
            <w:r w:rsidR="00281CB1">
              <w:t xml:space="preserve">with </w:t>
            </w:r>
            <w:r>
              <w:t>in carrying out its functions</w:t>
            </w:r>
            <w:r w:rsidR="00B0699E">
              <w:t>.</w:t>
            </w:r>
            <w:r>
              <w:t xml:space="preserve"> </w:t>
            </w:r>
          </w:p>
          <w:p w14:paraId="52D01B91" w14:textId="77777777" w:rsidR="003C0BBA" w:rsidRPr="00835628" w:rsidRDefault="003C0BBA" w:rsidP="0039712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602B8" w14:paraId="5C09ABF6" w14:textId="77777777" w:rsidTr="00345119">
        <w:tc>
          <w:tcPr>
            <w:tcW w:w="9576" w:type="dxa"/>
          </w:tcPr>
          <w:p w14:paraId="66951547" w14:textId="4C4835B5" w:rsidR="008423E4" w:rsidRPr="00A8133F" w:rsidRDefault="00107157" w:rsidP="0039712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</w:p>
          <w:p w14:paraId="005E3F74" w14:textId="77777777" w:rsidR="008423E4" w:rsidRDefault="008423E4" w:rsidP="0039712D"/>
          <w:p w14:paraId="3AB505E1" w14:textId="77777777" w:rsidR="008423E4" w:rsidRPr="003624F2" w:rsidRDefault="00107157" w:rsidP="003971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</w:t>
            </w:r>
            <w:r>
              <w:t xml:space="preserve"> the bill does not receive the necessary vote, September 1, 2021.</w:t>
            </w:r>
          </w:p>
          <w:p w14:paraId="4DAF602E" w14:textId="77777777" w:rsidR="008423E4" w:rsidRPr="00233FDB" w:rsidRDefault="008423E4" w:rsidP="0039712D">
            <w:pPr>
              <w:rPr>
                <w:b/>
              </w:rPr>
            </w:pPr>
          </w:p>
        </w:tc>
      </w:tr>
      <w:tr w:rsidR="004602B8" w14:paraId="3E07AA52" w14:textId="77777777" w:rsidTr="00345119">
        <w:tc>
          <w:tcPr>
            <w:tcW w:w="9576" w:type="dxa"/>
          </w:tcPr>
          <w:p w14:paraId="7FA35B12" w14:textId="77777777" w:rsidR="001F6A69" w:rsidRDefault="00107157" w:rsidP="001F6A6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0BF12AE7" w14:textId="7EF45D11" w:rsidR="002D3E78" w:rsidRPr="001F6A69" w:rsidRDefault="002D3E78" w:rsidP="001F6A69">
            <w:pPr>
              <w:jc w:val="both"/>
              <w:rPr>
                <w:b/>
                <w:u w:val="single"/>
              </w:rPr>
            </w:pPr>
          </w:p>
        </w:tc>
      </w:tr>
      <w:tr w:rsidR="004602B8" w14:paraId="6D2EFBAE" w14:textId="77777777" w:rsidTr="00345119">
        <w:tc>
          <w:tcPr>
            <w:tcW w:w="9576" w:type="dxa"/>
          </w:tcPr>
          <w:p w14:paraId="7EB126EB" w14:textId="1BD43BE3" w:rsidR="000374C9" w:rsidRPr="009C1E9A" w:rsidRDefault="00107157" w:rsidP="0039712D">
            <w:pPr>
              <w:rPr>
                <w:b/>
                <w:u w:val="single"/>
              </w:rPr>
            </w:pPr>
            <w:r>
              <w:t>C.S.H.B. 13 differs from the original in minor or nonsubstantive ways by conforming to certain bill drafting conventions.</w:t>
            </w:r>
          </w:p>
        </w:tc>
      </w:tr>
      <w:tr w:rsidR="004602B8" w14:paraId="688F19EE" w14:textId="77777777" w:rsidTr="00345119">
        <w:tc>
          <w:tcPr>
            <w:tcW w:w="9576" w:type="dxa"/>
          </w:tcPr>
          <w:p w14:paraId="161CC3C5" w14:textId="77777777" w:rsidR="000374C9" w:rsidRPr="001F6A69" w:rsidRDefault="000374C9" w:rsidP="001F6A69">
            <w:pPr>
              <w:spacing w:line="480" w:lineRule="auto"/>
              <w:jc w:val="both"/>
            </w:pPr>
          </w:p>
        </w:tc>
      </w:tr>
      <w:tr w:rsidR="004602B8" w14:paraId="04C808DB" w14:textId="77777777" w:rsidTr="00345119">
        <w:tc>
          <w:tcPr>
            <w:tcW w:w="9576" w:type="dxa"/>
          </w:tcPr>
          <w:p w14:paraId="0CAA8549" w14:textId="77777777" w:rsidR="001F6A69" w:rsidRPr="000374C9" w:rsidRDefault="001F6A69" w:rsidP="0039712D">
            <w:pPr>
              <w:jc w:val="both"/>
            </w:pPr>
          </w:p>
        </w:tc>
      </w:tr>
      <w:tr w:rsidR="004602B8" w14:paraId="39BB7DA8" w14:textId="77777777" w:rsidTr="00345119">
        <w:tc>
          <w:tcPr>
            <w:tcW w:w="9576" w:type="dxa"/>
          </w:tcPr>
          <w:p w14:paraId="0F83435A" w14:textId="77777777" w:rsidR="001F6A69" w:rsidRPr="000374C9" w:rsidRDefault="001F6A69" w:rsidP="0039712D">
            <w:pPr>
              <w:jc w:val="both"/>
            </w:pPr>
          </w:p>
        </w:tc>
      </w:tr>
      <w:tr w:rsidR="004602B8" w14:paraId="668961C7" w14:textId="77777777" w:rsidTr="00345119">
        <w:tc>
          <w:tcPr>
            <w:tcW w:w="9576" w:type="dxa"/>
          </w:tcPr>
          <w:p w14:paraId="1F85AEA3" w14:textId="77777777" w:rsidR="001F6A69" w:rsidRPr="000374C9" w:rsidRDefault="001F6A69" w:rsidP="0039712D">
            <w:pPr>
              <w:jc w:val="both"/>
            </w:pPr>
          </w:p>
        </w:tc>
      </w:tr>
    </w:tbl>
    <w:p w14:paraId="7A16E1BE" w14:textId="77777777" w:rsidR="008423E4" w:rsidRPr="00BE0E75" w:rsidRDefault="008423E4" w:rsidP="0039712D">
      <w:pPr>
        <w:jc w:val="both"/>
        <w:rPr>
          <w:rFonts w:ascii="Arial" w:hAnsi="Arial"/>
          <w:sz w:val="16"/>
          <w:szCs w:val="16"/>
        </w:rPr>
      </w:pPr>
    </w:p>
    <w:p w14:paraId="5ADF2D02" w14:textId="77777777" w:rsidR="004108C3" w:rsidRPr="008423E4" w:rsidRDefault="004108C3" w:rsidP="0039712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F57BE" w14:textId="77777777" w:rsidR="00000000" w:rsidRDefault="00107157">
      <w:r>
        <w:separator/>
      </w:r>
    </w:p>
  </w:endnote>
  <w:endnote w:type="continuationSeparator" w:id="0">
    <w:p w14:paraId="4053CC75" w14:textId="77777777" w:rsidR="00000000" w:rsidRDefault="0010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8B2E5" w14:textId="77777777" w:rsidR="00487115" w:rsidRDefault="00487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602B8" w14:paraId="47A11E25" w14:textId="77777777" w:rsidTr="009C1E9A">
      <w:trPr>
        <w:cantSplit/>
      </w:trPr>
      <w:tc>
        <w:tcPr>
          <w:tcW w:w="0" w:type="pct"/>
        </w:tcPr>
        <w:p w14:paraId="1B717D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BD6E9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EBD8AC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816C6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82968A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02B8" w14:paraId="65F30027" w14:textId="77777777" w:rsidTr="009C1E9A">
      <w:trPr>
        <w:cantSplit/>
      </w:trPr>
      <w:tc>
        <w:tcPr>
          <w:tcW w:w="0" w:type="pct"/>
        </w:tcPr>
        <w:p w14:paraId="0B0E49D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343D49" w14:textId="4BC9D652" w:rsidR="00EC379B" w:rsidRPr="009C1E9A" w:rsidRDefault="0010715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16628</w:t>
          </w:r>
        </w:p>
      </w:tc>
      <w:tc>
        <w:tcPr>
          <w:tcW w:w="2453" w:type="pct"/>
        </w:tcPr>
        <w:p w14:paraId="751FF47B" w14:textId="5C18B4EB" w:rsidR="00EC379B" w:rsidRDefault="0010715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121F3">
            <w:t>21.81.742</w:t>
          </w:r>
          <w:r>
            <w:fldChar w:fldCharType="end"/>
          </w:r>
        </w:p>
      </w:tc>
    </w:tr>
    <w:tr w:rsidR="004602B8" w14:paraId="0D50A5EB" w14:textId="77777777" w:rsidTr="009C1E9A">
      <w:trPr>
        <w:cantSplit/>
      </w:trPr>
      <w:tc>
        <w:tcPr>
          <w:tcW w:w="0" w:type="pct"/>
        </w:tcPr>
        <w:p w14:paraId="3659C08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C3C6F50" w14:textId="44F0DF69" w:rsidR="00EC379B" w:rsidRPr="009C1E9A" w:rsidRDefault="0010715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16126</w:t>
          </w:r>
        </w:p>
      </w:tc>
      <w:tc>
        <w:tcPr>
          <w:tcW w:w="2453" w:type="pct"/>
        </w:tcPr>
        <w:p w14:paraId="2587093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87A0CF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602B8" w14:paraId="321B70A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9F9ECB4" w14:textId="721D1D41" w:rsidR="00EC379B" w:rsidRDefault="0010715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B3C69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33FAA86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1BD8C7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492F2" w14:textId="77777777" w:rsidR="00487115" w:rsidRDefault="00487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655C1" w14:textId="77777777" w:rsidR="00000000" w:rsidRDefault="00107157">
      <w:r>
        <w:separator/>
      </w:r>
    </w:p>
  </w:footnote>
  <w:footnote w:type="continuationSeparator" w:id="0">
    <w:p w14:paraId="255909D3" w14:textId="77777777" w:rsidR="00000000" w:rsidRDefault="0010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22682" w14:textId="77777777" w:rsidR="00487115" w:rsidRDefault="00487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3E948" w14:textId="77777777" w:rsidR="00487115" w:rsidRDefault="00487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99C87" w14:textId="77777777" w:rsidR="00487115" w:rsidRDefault="00487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6A92"/>
    <w:multiLevelType w:val="hybridMultilevel"/>
    <w:tmpl w:val="59F69128"/>
    <w:lvl w:ilvl="0" w:tplc="52621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4D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AF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69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E8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7AE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AB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C6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43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B3755"/>
    <w:multiLevelType w:val="hybridMultilevel"/>
    <w:tmpl w:val="F384B802"/>
    <w:lvl w:ilvl="0" w:tplc="75861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68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AD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25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E3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FCE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A0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85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608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3728A"/>
    <w:multiLevelType w:val="hybridMultilevel"/>
    <w:tmpl w:val="DF22B536"/>
    <w:lvl w:ilvl="0" w:tplc="7B46B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87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881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CC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45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F2C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A9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6A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87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D5"/>
    <w:rsid w:val="00000A70"/>
    <w:rsid w:val="000032B8"/>
    <w:rsid w:val="00003B06"/>
    <w:rsid w:val="000054B9"/>
    <w:rsid w:val="00005C93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4C9"/>
    <w:rsid w:val="000400D5"/>
    <w:rsid w:val="00043B84"/>
    <w:rsid w:val="0004512B"/>
    <w:rsid w:val="000463F0"/>
    <w:rsid w:val="00046BDA"/>
    <w:rsid w:val="0004702C"/>
    <w:rsid w:val="0004762E"/>
    <w:rsid w:val="000532BD"/>
    <w:rsid w:val="00055C12"/>
    <w:rsid w:val="000608B0"/>
    <w:rsid w:val="0006104C"/>
    <w:rsid w:val="00064BF2"/>
    <w:rsid w:val="000667BA"/>
    <w:rsid w:val="000676A7"/>
    <w:rsid w:val="00071C53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17ED"/>
    <w:rsid w:val="00102D3F"/>
    <w:rsid w:val="00102EC7"/>
    <w:rsid w:val="0010347D"/>
    <w:rsid w:val="00107157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A69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3F33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383"/>
    <w:rsid w:val="0024691D"/>
    <w:rsid w:val="00247D27"/>
    <w:rsid w:val="00250A50"/>
    <w:rsid w:val="00251ED5"/>
    <w:rsid w:val="00255EB6"/>
    <w:rsid w:val="00257429"/>
    <w:rsid w:val="00260FA4"/>
    <w:rsid w:val="00261183"/>
    <w:rsid w:val="00262174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1CB1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3C69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3E78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2D69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12D"/>
    <w:rsid w:val="003A0296"/>
    <w:rsid w:val="003A10BC"/>
    <w:rsid w:val="003A2E48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0BBA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02B8"/>
    <w:rsid w:val="00461B69"/>
    <w:rsid w:val="00462B3D"/>
    <w:rsid w:val="00467928"/>
    <w:rsid w:val="00474927"/>
    <w:rsid w:val="00475913"/>
    <w:rsid w:val="00480080"/>
    <w:rsid w:val="004824A7"/>
    <w:rsid w:val="00483AF0"/>
    <w:rsid w:val="00484167"/>
    <w:rsid w:val="00487115"/>
    <w:rsid w:val="00492211"/>
    <w:rsid w:val="00492325"/>
    <w:rsid w:val="00492A6D"/>
    <w:rsid w:val="00494303"/>
    <w:rsid w:val="0049682B"/>
    <w:rsid w:val="00497A1A"/>
    <w:rsid w:val="004A03F7"/>
    <w:rsid w:val="004A081C"/>
    <w:rsid w:val="004A123F"/>
    <w:rsid w:val="004A2172"/>
    <w:rsid w:val="004B138F"/>
    <w:rsid w:val="004B1870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246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3E6"/>
    <w:rsid w:val="004F64F6"/>
    <w:rsid w:val="004F69C0"/>
    <w:rsid w:val="004F6C55"/>
    <w:rsid w:val="00500121"/>
    <w:rsid w:val="005017AC"/>
    <w:rsid w:val="00501E8A"/>
    <w:rsid w:val="00505121"/>
    <w:rsid w:val="00505C04"/>
    <w:rsid w:val="00505F1B"/>
    <w:rsid w:val="005073E8"/>
    <w:rsid w:val="00510503"/>
    <w:rsid w:val="00510FB5"/>
    <w:rsid w:val="0051324D"/>
    <w:rsid w:val="00513449"/>
    <w:rsid w:val="00515466"/>
    <w:rsid w:val="005154F7"/>
    <w:rsid w:val="005159DE"/>
    <w:rsid w:val="00520158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4451"/>
    <w:rsid w:val="005666D5"/>
    <w:rsid w:val="005669A7"/>
    <w:rsid w:val="00573401"/>
    <w:rsid w:val="00576714"/>
    <w:rsid w:val="0057685A"/>
    <w:rsid w:val="00580162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043"/>
    <w:rsid w:val="006012DA"/>
    <w:rsid w:val="00603B0F"/>
    <w:rsid w:val="006049F5"/>
    <w:rsid w:val="00605F7B"/>
    <w:rsid w:val="00607E64"/>
    <w:rsid w:val="006106E9"/>
    <w:rsid w:val="0061159E"/>
    <w:rsid w:val="006121F3"/>
    <w:rsid w:val="00614633"/>
    <w:rsid w:val="00614BC8"/>
    <w:rsid w:val="006151FB"/>
    <w:rsid w:val="00617411"/>
    <w:rsid w:val="006231AC"/>
    <w:rsid w:val="006249CB"/>
    <w:rsid w:val="006271D3"/>
    <w:rsid w:val="006272DD"/>
    <w:rsid w:val="00630302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A635A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0B3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A6"/>
    <w:rsid w:val="00731DE3"/>
    <w:rsid w:val="00733DF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2F38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F59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66A3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5CB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9F9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52E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0C3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D7882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99E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F3A"/>
    <w:rsid w:val="00B473D8"/>
    <w:rsid w:val="00B50312"/>
    <w:rsid w:val="00B5165A"/>
    <w:rsid w:val="00B524C1"/>
    <w:rsid w:val="00B52C8D"/>
    <w:rsid w:val="00B54030"/>
    <w:rsid w:val="00B564BF"/>
    <w:rsid w:val="00B6104E"/>
    <w:rsid w:val="00B610C7"/>
    <w:rsid w:val="00B62106"/>
    <w:rsid w:val="00B626A8"/>
    <w:rsid w:val="00B65695"/>
    <w:rsid w:val="00B66526"/>
    <w:rsid w:val="00B665A3"/>
    <w:rsid w:val="00B73BB2"/>
    <w:rsid w:val="00B73BB4"/>
    <w:rsid w:val="00B75B71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402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2E7F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534F"/>
    <w:rsid w:val="00C57933"/>
    <w:rsid w:val="00C60206"/>
    <w:rsid w:val="00C615D4"/>
    <w:rsid w:val="00C61B5D"/>
    <w:rsid w:val="00C61C0E"/>
    <w:rsid w:val="00C61C64"/>
    <w:rsid w:val="00C61CDA"/>
    <w:rsid w:val="00C726CC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325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68F5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C2B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305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9EA"/>
    <w:rsid w:val="00DC6DBB"/>
    <w:rsid w:val="00DC7761"/>
    <w:rsid w:val="00DD0022"/>
    <w:rsid w:val="00DD073C"/>
    <w:rsid w:val="00DD128C"/>
    <w:rsid w:val="00DD1B8F"/>
    <w:rsid w:val="00DD4FC9"/>
    <w:rsid w:val="00DD5BCC"/>
    <w:rsid w:val="00DD7509"/>
    <w:rsid w:val="00DD79C7"/>
    <w:rsid w:val="00DD7D6E"/>
    <w:rsid w:val="00DE34B2"/>
    <w:rsid w:val="00DE49DE"/>
    <w:rsid w:val="00DE605B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7D5"/>
    <w:rsid w:val="00E1228E"/>
    <w:rsid w:val="00E13374"/>
    <w:rsid w:val="00E14079"/>
    <w:rsid w:val="00E15F90"/>
    <w:rsid w:val="00E162FA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214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05C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463E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2A61"/>
    <w:rsid w:val="00F25CC2"/>
    <w:rsid w:val="00F27573"/>
    <w:rsid w:val="00F30D0A"/>
    <w:rsid w:val="00F31876"/>
    <w:rsid w:val="00F31C67"/>
    <w:rsid w:val="00F32C7E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47F13"/>
    <w:rsid w:val="00F50130"/>
    <w:rsid w:val="00F52402"/>
    <w:rsid w:val="00F5605D"/>
    <w:rsid w:val="00F60557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4DAADB-C328-4F84-9A3B-983B202C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621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21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21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2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2174"/>
    <w:rPr>
      <w:b/>
      <w:bCs/>
    </w:rPr>
  </w:style>
  <w:style w:type="character" w:styleId="Hyperlink">
    <w:name w:val="Hyperlink"/>
    <w:basedOn w:val="DefaultParagraphFont"/>
    <w:unhideWhenUsed/>
    <w:rsid w:val="00B75B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75B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3385</Characters>
  <Application>Microsoft Office Word</Application>
  <DocSecurity>4</DocSecurity>
  <Lines>84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HB00013 (Committee Report (Substituted))</vt:lpstr>
    </vt:vector>
  </TitlesOfParts>
  <Company>State of Texas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16628</dc:subject>
  <dc:creator>State of Texas</dc:creator>
  <dc:description>HB 13 by Paddie-(H)State Affairs (Substitute Document Number: 87R 16126)</dc:description>
  <cp:lastModifiedBy>Thomas Weis</cp:lastModifiedBy>
  <cp:revision>2</cp:revision>
  <cp:lastPrinted>2003-11-26T17:21:00Z</cp:lastPrinted>
  <dcterms:created xsi:type="dcterms:W3CDTF">2021-03-23T21:50:00Z</dcterms:created>
  <dcterms:modified xsi:type="dcterms:W3CDTF">2021-03-23T21:50:00Z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21.81.742</vt:lpwstr>
  </property>
</Properties>
</file>