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6803E7" w14:paraId="3848751E" w14:textId="77777777" w:rsidTr="00345119">
        <w:tc>
          <w:tcPr>
            <w:tcW w:w="9576" w:type="dxa"/>
            <w:noWrap/>
          </w:tcPr>
          <w:p w14:paraId="26FC4DFC" w14:textId="77777777" w:rsidR="008423E4" w:rsidRPr="0022177D" w:rsidRDefault="009B1207" w:rsidP="00A60CD1">
            <w:pPr>
              <w:pStyle w:val="Heading1"/>
            </w:pPr>
            <w:bookmarkStart w:id="0" w:name="_GoBack"/>
            <w:bookmarkEnd w:id="0"/>
            <w:r w:rsidRPr="00631897">
              <w:t>BILL ANALYSIS</w:t>
            </w:r>
          </w:p>
        </w:tc>
      </w:tr>
    </w:tbl>
    <w:p w14:paraId="4EC1DF0F" w14:textId="77777777" w:rsidR="008423E4" w:rsidRPr="0022177D" w:rsidRDefault="008423E4" w:rsidP="00A60CD1">
      <w:pPr>
        <w:jc w:val="center"/>
      </w:pPr>
    </w:p>
    <w:p w14:paraId="7E971025" w14:textId="77777777" w:rsidR="008423E4" w:rsidRPr="00B31F0E" w:rsidRDefault="008423E4" w:rsidP="00A60CD1"/>
    <w:p w14:paraId="04536982" w14:textId="77777777" w:rsidR="008423E4" w:rsidRPr="00742794" w:rsidRDefault="008423E4" w:rsidP="00A60CD1">
      <w:pPr>
        <w:tabs>
          <w:tab w:val="right" w:pos="9360"/>
        </w:tabs>
      </w:pPr>
    </w:p>
    <w:tbl>
      <w:tblPr>
        <w:tblW w:w="0" w:type="auto"/>
        <w:tblLayout w:type="fixed"/>
        <w:tblLook w:val="01E0" w:firstRow="1" w:lastRow="1" w:firstColumn="1" w:lastColumn="1" w:noHBand="0" w:noVBand="0"/>
      </w:tblPr>
      <w:tblGrid>
        <w:gridCol w:w="9576"/>
      </w:tblGrid>
      <w:tr w:rsidR="006803E7" w14:paraId="0FEDD833" w14:textId="77777777" w:rsidTr="00345119">
        <w:tc>
          <w:tcPr>
            <w:tcW w:w="9576" w:type="dxa"/>
          </w:tcPr>
          <w:p w14:paraId="0F0362B1" w14:textId="48A36B51" w:rsidR="008423E4" w:rsidRPr="00861995" w:rsidRDefault="009B1207" w:rsidP="00A60CD1">
            <w:pPr>
              <w:jc w:val="right"/>
            </w:pPr>
            <w:r>
              <w:t>C.S.H.B. 14</w:t>
            </w:r>
          </w:p>
        </w:tc>
      </w:tr>
      <w:tr w:rsidR="006803E7" w14:paraId="3B9D26AB" w14:textId="77777777" w:rsidTr="00345119">
        <w:tc>
          <w:tcPr>
            <w:tcW w:w="9576" w:type="dxa"/>
          </w:tcPr>
          <w:p w14:paraId="328BE356" w14:textId="61BAA71B" w:rsidR="008423E4" w:rsidRPr="00861995" w:rsidRDefault="009B1207" w:rsidP="00A60CD1">
            <w:pPr>
              <w:jc w:val="right"/>
            </w:pPr>
            <w:r>
              <w:t xml:space="preserve">By: </w:t>
            </w:r>
            <w:r w:rsidR="00D14795">
              <w:t>Goldman</w:t>
            </w:r>
          </w:p>
        </w:tc>
      </w:tr>
      <w:tr w:rsidR="006803E7" w14:paraId="5D24E7EF" w14:textId="77777777" w:rsidTr="00345119">
        <w:tc>
          <w:tcPr>
            <w:tcW w:w="9576" w:type="dxa"/>
          </w:tcPr>
          <w:p w14:paraId="16E15274" w14:textId="5489ADCF" w:rsidR="008423E4" w:rsidRPr="00861995" w:rsidRDefault="009B1207" w:rsidP="00A60CD1">
            <w:pPr>
              <w:jc w:val="right"/>
            </w:pPr>
            <w:r>
              <w:t>Energy Resources</w:t>
            </w:r>
          </w:p>
        </w:tc>
      </w:tr>
      <w:tr w:rsidR="006803E7" w14:paraId="6E49AFCA" w14:textId="77777777" w:rsidTr="00345119">
        <w:tc>
          <w:tcPr>
            <w:tcW w:w="9576" w:type="dxa"/>
          </w:tcPr>
          <w:p w14:paraId="6BE293B6" w14:textId="2A14843B" w:rsidR="008423E4" w:rsidRDefault="009B1207" w:rsidP="00A60CD1">
            <w:pPr>
              <w:jc w:val="right"/>
            </w:pPr>
            <w:r>
              <w:t>Committee Report (Substituted)</w:t>
            </w:r>
          </w:p>
        </w:tc>
      </w:tr>
    </w:tbl>
    <w:p w14:paraId="1BE9D032" w14:textId="77777777" w:rsidR="008423E4" w:rsidRDefault="008423E4" w:rsidP="00A60CD1">
      <w:pPr>
        <w:tabs>
          <w:tab w:val="right" w:pos="9360"/>
        </w:tabs>
      </w:pPr>
    </w:p>
    <w:p w14:paraId="73E4D2B8" w14:textId="77777777" w:rsidR="008423E4" w:rsidRDefault="008423E4" w:rsidP="00A60CD1"/>
    <w:p w14:paraId="2C74E4C4" w14:textId="77777777" w:rsidR="008423E4" w:rsidRDefault="008423E4" w:rsidP="00A60CD1"/>
    <w:tbl>
      <w:tblPr>
        <w:tblW w:w="0" w:type="auto"/>
        <w:tblCellMar>
          <w:left w:w="115" w:type="dxa"/>
          <w:right w:w="115" w:type="dxa"/>
        </w:tblCellMar>
        <w:tblLook w:val="01E0" w:firstRow="1" w:lastRow="1" w:firstColumn="1" w:lastColumn="1" w:noHBand="0" w:noVBand="0"/>
      </w:tblPr>
      <w:tblGrid>
        <w:gridCol w:w="9360"/>
      </w:tblGrid>
      <w:tr w:rsidR="006803E7" w14:paraId="50700337" w14:textId="77777777" w:rsidTr="00345119">
        <w:tc>
          <w:tcPr>
            <w:tcW w:w="9576" w:type="dxa"/>
          </w:tcPr>
          <w:p w14:paraId="1B78F9DD" w14:textId="77777777" w:rsidR="008423E4" w:rsidRPr="00A8133F" w:rsidRDefault="009B1207" w:rsidP="00A60CD1">
            <w:pPr>
              <w:rPr>
                <w:b/>
              </w:rPr>
            </w:pPr>
            <w:r w:rsidRPr="009C1E9A">
              <w:rPr>
                <w:b/>
                <w:u w:val="single"/>
              </w:rPr>
              <w:t>BACKGROUND AND PURPOSE</w:t>
            </w:r>
            <w:r>
              <w:rPr>
                <w:b/>
              </w:rPr>
              <w:t xml:space="preserve"> </w:t>
            </w:r>
          </w:p>
          <w:p w14:paraId="0B1651C7" w14:textId="77777777" w:rsidR="008423E4" w:rsidRDefault="008423E4" w:rsidP="00A60CD1"/>
          <w:p w14:paraId="724C057F" w14:textId="6F1D5EB9" w:rsidR="008423E4" w:rsidRDefault="009B1207" w:rsidP="00A60CD1">
            <w:pPr>
              <w:pStyle w:val="Header"/>
              <w:jc w:val="both"/>
            </w:pPr>
            <w:r>
              <w:t xml:space="preserve">Preparation for extreme temperatures, both hot and cold, is no longer a seasonal responsibility. </w:t>
            </w:r>
            <w:r w:rsidRPr="00120B4B">
              <w:t>The supply and demand of the state</w:t>
            </w:r>
            <w:r w:rsidR="00760B29">
              <w:t>'</w:t>
            </w:r>
            <w:r w:rsidRPr="00120B4B">
              <w:t xml:space="preserve">s electric and gas supplies are fluid, which is why </w:t>
            </w:r>
            <w:r>
              <w:t>consistent</w:t>
            </w:r>
            <w:r w:rsidRPr="00120B4B">
              <w:t xml:space="preserve"> communication </w:t>
            </w:r>
            <w:r>
              <w:t xml:space="preserve">between relevant market actors </w:t>
            </w:r>
            <w:r w:rsidRPr="00120B4B">
              <w:t xml:space="preserve">is critical to anticipate future needs and prepare for </w:t>
            </w:r>
            <w:r>
              <w:t>extreme</w:t>
            </w:r>
            <w:r w:rsidRPr="00120B4B">
              <w:t xml:space="preserve"> weather events.</w:t>
            </w:r>
            <w:r>
              <w:t xml:space="preserve"> When Winter Storm Uri, which paralyzed the state's power grid for a w</w:t>
            </w:r>
            <w:r>
              <w:t>eek in February of this year, fades from memory, the</w:t>
            </w:r>
            <w:r w:rsidR="0066453B">
              <w:t xml:space="preserve">re will remain a </w:t>
            </w:r>
            <w:r w:rsidR="00BF704B">
              <w:t>need to ensure that this communication and relevant policy planning activities do not fall by the wayside</w:t>
            </w:r>
            <w:r>
              <w:t xml:space="preserve">. </w:t>
            </w:r>
            <w:r w:rsidR="00BF704B">
              <w:t xml:space="preserve">C.S.H.B. 14 seeks to ensure that the state is better prepared for </w:t>
            </w:r>
            <w:r w:rsidR="00E91BE9">
              <w:t xml:space="preserve">energy needs during future </w:t>
            </w:r>
            <w:r w:rsidR="00BF704B">
              <w:t>extreme weather emergencies by creating the Texas Electricity Supply Chain Security and Mapping Committee.</w:t>
            </w:r>
          </w:p>
          <w:p w14:paraId="697BE0E8" w14:textId="77777777" w:rsidR="008423E4" w:rsidRPr="00E26B13" w:rsidRDefault="008423E4" w:rsidP="00A60CD1">
            <w:pPr>
              <w:rPr>
                <w:b/>
              </w:rPr>
            </w:pPr>
          </w:p>
        </w:tc>
      </w:tr>
      <w:tr w:rsidR="006803E7" w14:paraId="552B2B3B" w14:textId="77777777" w:rsidTr="00345119">
        <w:tc>
          <w:tcPr>
            <w:tcW w:w="9576" w:type="dxa"/>
          </w:tcPr>
          <w:p w14:paraId="74383423" w14:textId="77777777" w:rsidR="0017725B" w:rsidRDefault="009B1207" w:rsidP="00A60CD1">
            <w:pPr>
              <w:rPr>
                <w:b/>
                <w:u w:val="single"/>
              </w:rPr>
            </w:pPr>
            <w:r>
              <w:rPr>
                <w:b/>
                <w:u w:val="single"/>
              </w:rPr>
              <w:t>CRIMINAL JUSTICE IMPACT</w:t>
            </w:r>
          </w:p>
          <w:p w14:paraId="2B3516C8" w14:textId="77777777" w:rsidR="0017725B" w:rsidRDefault="0017725B" w:rsidP="00A60CD1">
            <w:pPr>
              <w:rPr>
                <w:b/>
                <w:u w:val="single"/>
              </w:rPr>
            </w:pPr>
          </w:p>
          <w:p w14:paraId="2EB7B812" w14:textId="77777777" w:rsidR="00C86791" w:rsidRPr="00C86791" w:rsidRDefault="009B1207" w:rsidP="00A60CD1">
            <w:pPr>
              <w:jc w:val="both"/>
            </w:pPr>
            <w:r>
              <w:t>It is the committee's opinion that this bill does not expressly create a criminal offense, increase the punis</w:t>
            </w:r>
            <w:r>
              <w:t>hment for an existing criminal offense or category of offenses, or change the eligibility of a person for community supervision, parole, or mandatory supervision.</w:t>
            </w:r>
          </w:p>
          <w:p w14:paraId="591D53F8" w14:textId="77777777" w:rsidR="0017725B" w:rsidRPr="0017725B" w:rsidRDefault="0017725B" w:rsidP="00A60CD1">
            <w:pPr>
              <w:rPr>
                <w:b/>
                <w:u w:val="single"/>
              </w:rPr>
            </w:pPr>
          </w:p>
        </w:tc>
      </w:tr>
      <w:tr w:rsidR="006803E7" w14:paraId="572E8DA7" w14:textId="77777777" w:rsidTr="00345119">
        <w:tc>
          <w:tcPr>
            <w:tcW w:w="9576" w:type="dxa"/>
          </w:tcPr>
          <w:p w14:paraId="742663FA" w14:textId="77777777" w:rsidR="008423E4" w:rsidRPr="00A8133F" w:rsidRDefault="009B1207" w:rsidP="00A60CD1">
            <w:pPr>
              <w:rPr>
                <w:b/>
              </w:rPr>
            </w:pPr>
            <w:r w:rsidRPr="009C1E9A">
              <w:rPr>
                <w:b/>
                <w:u w:val="single"/>
              </w:rPr>
              <w:t>RULEMAKING AUTHORITY</w:t>
            </w:r>
            <w:r>
              <w:rPr>
                <w:b/>
              </w:rPr>
              <w:t xml:space="preserve"> </w:t>
            </w:r>
          </w:p>
          <w:p w14:paraId="7FD65D16" w14:textId="77777777" w:rsidR="008423E4" w:rsidRDefault="008423E4" w:rsidP="00A60CD1"/>
          <w:p w14:paraId="5DBE0B27" w14:textId="77777777" w:rsidR="00C86791" w:rsidRDefault="009B1207" w:rsidP="00A60CD1">
            <w:pPr>
              <w:pStyle w:val="Header"/>
              <w:tabs>
                <w:tab w:val="clear" w:pos="4320"/>
                <w:tab w:val="clear" w:pos="8640"/>
              </w:tabs>
              <w:jc w:val="both"/>
            </w:pPr>
            <w:r>
              <w:t xml:space="preserve">It is the committee's opinion that this bill does not expressly </w:t>
            </w:r>
            <w:r>
              <w:t>grant any additional rulemaking authority to a state officer, department, agency, or institution.</w:t>
            </w:r>
          </w:p>
          <w:p w14:paraId="5EBEC23D" w14:textId="77777777" w:rsidR="008423E4" w:rsidRPr="00E21FDC" w:rsidRDefault="008423E4" w:rsidP="00A60CD1">
            <w:pPr>
              <w:rPr>
                <w:b/>
              </w:rPr>
            </w:pPr>
          </w:p>
        </w:tc>
      </w:tr>
      <w:tr w:rsidR="006803E7" w14:paraId="73A6AF82" w14:textId="77777777" w:rsidTr="00345119">
        <w:tc>
          <w:tcPr>
            <w:tcW w:w="9576" w:type="dxa"/>
          </w:tcPr>
          <w:p w14:paraId="2FFD244C" w14:textId="77777777" w:rsidR="008423E4" w:rsidRPr="00A8133F" w:rsidRDefault="009B1207" w:rsidP="00A60CD1">
            <w:pPr>
              <w:rPr>
                <w:b/>
              </w:rPr>
            </w:pPr>
            <w:r w:rsidRPr="009C1E9A">
              <w:rPr>
                <w:b/>
                <w:u w:val="single"/>
              </w:rPr>
              <w:t>ANALYSIS</w:t>
            </w:r>
            <w:r>
              <w:rPr>
                <w:b/>
              </w:rPr>
              <w:t xml:space="preserve"> </w:t>
            </w:r>
          </w:p>
          <w:p w14:paraId="1D664F47" w14:textId="77777777" w:rsidR="008423E4" w:rsidRDefault="008423E4" w:rsidP="00A60CD1"/>
          <w:p w14:paraId="0BA02FE8" w14:textId="3AD49467" w:rsidR="00791643" w:rsidRDefault="009B1207" w:rsidP="00A60CD1">
            <w:pPr>
              <w:pStyle w:val="Header"/>
              <w:jc w:val="both"/>
            </w:pPr>
            <w:r>
              <w:t>C.S.</w:t>
            </w:r>
            <w:r w:rsidR="00BF4C33">
              <w:t xml:space="preserve">H.B. 14 amends the </w:t>
            </w:r>
            <w:r w:rsidR="00BF4C33" w:rsidRPr="00BF4C33">
              <w:t>Utilities Code</w:t>
            </w:r>
            <w:r w:rsidR="00BF4C33">
              <w:t xml:space="preserve"> to create the</w:t>
            </w:r>
            <w:r w:rsidR="003E6351">
              <w:t xml:space="preserve"> </w:t>
            </w:r>
            <w:r w:rsidR="00BF4C33">
              <w:t>Texas Electricity Supply Chain</w:t>
            </w:r>
            <w:r w:rsidR="00760B29">
              <w:t xml:space="preserve"> Security and</w:t>
            </w:r>
            <w:r w:rsidR="00BF4C33">
              <w:t xml:space="preserve"> Mapping Committee</w:t>
            </w:r>
            <w:r w:rsidR="00A01A15">
              <w:t xml:space="preserve"> </w:t>
            </w:r>
            <w:r>
              <w:t>for the following purposes:</w:t>
            </w:r>
          </w:p>
          <w:p w14:paraId="54323EDE" w14:textId="3F2F542B" w:rsidR="00791643" w:rsidRDefault="009B1207" w:rsidP="00A60CD1">
            <w:pPr>
              <w:pStyle w:val="Header"/>
              <w:numPr>
                <w:ilvl w:val="0"/>
                <w:numId w:val="6"/>
              </w:numPr>
              <w:jc w:val="both"/>
            </w:pPr>
            <w:r>
              <w:t xml:space="preserve">mapping the </w:t>
            </w:r>
            <w:r w:rsidR="005C3E32">
              <w:t xml:space="preserve">state's </w:t>
            </w:r>
            <w:r>
              <w:t>electricity supply chain and natural gas delivery system;</w:t>
            </w:r>
          </w:p>
          <w:p w14:paraId="26A29B6C" w14:textId="17AEE3AB" w:rsidR="00791643" w:rsidRDefault="009B1207" w:rsidP="00A60CD1">
            <w:pPr>
              <w:pStyle w:val="Header"/>
              <w:numPr>
                <w:ilvl w:val="0"/>
                <w:numId w:val="6"/>
              </w:numPr>
              <w:jc w:val="both"/>
            </w:pPr>
            <w:r>
              <w:t>identifying critical infrastructure sources in the electricity supply chain and natural gas delivery system;</w:t>
            </w:r>
          </w:p>
          <w:p w14:paraId="473150BB" w14:textId="27DAECA7" w:rsidR="00791643" w:rsidRDefault="009B1207" w:rsidP="00A60CD1">
            <w:pPr>
              <w:pStyle w:val="Header"/>
              <w:numPr>
                <w:ilvl w:val="0"/>
                <w:numId w:val="6"/>
              </w:numPr>
              <w:jc w:val="both"/>
            </w:pPr>
            <w:r>
              <w:t>establishing best practices to prepare facilities that provide electr</w:t>
            </w:r>
            <w:r>
              <w:t>ic and natural gas service to maintain service in an extreme weather event and recommending oversight and compliance standards for those facilities; and</w:t>
            </w:r>
          </w:p>
          <w:p w14:paraId="7B6A7BDB" w14:textId="14446458" w:rsidR="00791643" w:rsidRDefault="009B1207" w:rsidP="00A60CD1">
            <w:pPr>
              <w:pStyle w:val="Header"/>
              <w:numPr>
                <w:ilvl w:val="0"/>
                <w:numId w:val="6"/>
              </w:numPr>
              <w:jc w:val="both"/>
            </w:pPr>
            <w:r>
              <w:t>designating priority service needs to prepare for, respond to, and recover from an extreme weather even</w:t>
            </w:r>
            <w:r>
              <w:t>t.</w:t>
            </w:r>
          </w:p>
          <w:p w14:paraId="278DE35D" w14:textId="77777777" w:rsidR="00791643" w:rsidRDefault="00791643" w:rsidP="00A60CD1">
            <w:pPr>
              <w:pStyle w:val="Header"/>
              <w:jc w:val="both"/>
            </w:pPr>
          </w:p>
          <w:p w14:paraId="358F17E9" w14:textId="6D3D013D" w:rsidR="00A01A15" w:rsidRDefault="009B1207" w:rsidP="00A60CD1">
            <w:pPr>
              <w:pStyle w:val="Header"/>
              <w:jc w:val="both"/>
            </w:pPr>
            <w:r>
              <w:t xml:space="preserve">C.S.H.B. 14 </w:t>
            </w:r>
            <w:r w:rsidR="00384EEF">
              <w:t xml:space="preserve">sets out </w:t>
            </w:r>
            <w:r>
              <w:t>the members</w:t>
            </w:r>
            <w:r w:rsidR="00384EEF">
              <w:t>hip</w:t>
            </w:r>
            <w:r>
              <w:t xml:space="preserve"> of the committee</w:t>
            </w:r>
            <w:r w:rsidR="00384EEF">
              <w:t>, which is as follows</w:t>
            </w:r>
            <w:r>
              <w:t>:</w:t>
            </w:r>
          </w:p>
          <w:p w14:paraId="2C5FB7AE" w14:textId="00491046" w:rsidR="00A01A15" w:rsidRDefault="009B1207" w:rsidP="00A60CD1">
            <w:pPr>
              <w:pStyle w:val="Header"/>
              <w:numPr>
                <w:ilvl w:val="0"/>
                <w:numId w:val="3"/>
              </w:numPr>
              <w:jc w:val="both"/>
            </w:pPr>
            <w:r>
              <w:t xml:space="preserve">the executive directors of both the Railroad Commission of Texas (RRC) and </w:t>
            </w:r>
            <w:r w:rsidR="00B967B8">
              <w:t>the Public Utility Commission of Texas (PUC)</w:t>
            </w:r>
            <w:r>
              <w:t>;</w:t>
            </w:r>
          </w:p>
          <w:p w14:paraId="324AAC98" w14:textId="50F2B817" w:rsidR="00A01A15" w:rsidRDefault="009B1207" w:rsidP="00A60CD1">
            <w:pPr>
              <w:pStyle w:val="Header"/>
              <w:numPr>
                <w:ilvl w:val="0"/>
                <w:numId w:val="3"/>
              </w:numPr>
              <w:jc w:val="both"/>
            </w:pPr>
            <w:r>
              <w:t xml:space="preserve">the president and CEO of </w:t>
            </w:r>
            <w:r w:rsidR="000939E2">
              <w:t>the</w:t>
            </w:r>
            <w:r w:rsidRPr="000959BB">
              <w:t xml:space="preserve"> independent organization th</w:t>
            </w:r>
            <w:r w:rsidRPr="000959BB">
              <w:t xml:space="preserve">at is certified by the </w:t>
            </w:r>
            <w:r>
              <w:t>PUC</w:t>
            </w:r>
            <w:r w:rsidRPr="000959BB">
              <w:t xml:space="preserve"> to perform certain essential market functions for </w:t>
            </w:r>
            <w:r w:rsidR="000939E2">
              <w:t>the ERCOT</w:t>
            </w:r>
            <w:r w:rsidRPr="000959BB">
              <w:t xml:space="preserve"> power region</w:t>
            </w:r>
            <w:r>
              <w:t>; and</w:t>
            </w:r>
          </w:p>
          <w:p w14:paraId="442DC3A9" w14:textId="2A9F8C17" w:rsidR="00A01A15" w:rsidRDefault="009B1207" w:rsidP="00A60CD1">
            <w:pPr>
              <w:pStyle w:val="Header"/>
              <w:numPr>
                <w:ilvl w:val="0"/>
                <w:numId w:val="3"/>
              </w:numPr>
              <w:jc w:val="both"/>
            </w:pPr>
            <w:r>
              <w:t>the chief of the Texas Division of Emergency Management.</w:t>
            </w:r>
          </w:p>
          <w:p w14:paraId="69359992" w14:textId="2B06F0BB" w:rsidR="00A01A15" w:rsidRDefault="009B1207" w:rsidP="00A60CD1">
            <w:pPr>
              <w:pStyle w:val="Header"/>
              <w:jc w:val="both"/>
            </w:pPr>
            <w:r>
              <w:t>The bill authorizes each member to designate a person</w:t>
            </w:r>
            <w:r w:rsidR="00B967B8">
              <w:t>al</w:t>
            </w:r>
            <w:r>
              <w:t xml:space="preserve"> representative from their respective o</w:t>
            </w:r>
            <w:r>
              <w:t xml:space="preserve">rganization to represent </w:t>
            </w:r>
            <w:r w:rsidRPr="000F4968">
              <w:t>them</w:t>
            </w:r>
            <w:r>
              <w:t xml:space="preserve"> on the committee but specifies that </w:t>
            </w:r>
            <w:r w:rsidR="000959BB">
              <w:t>the member is responsible</w:t>
            </w:r>
            <w:r>
              <w:t xml:space="preserve"> for the acts and omissions of </w:t>
            </w:r>
            <w:r w:rsidRPr="000A1412">
              <w:t>their</w:t>
            </w:r>
            <w:r>
              <w:t xml:space="preserve"> designated r</w:t>
            </w:r>
            <w:r w:rsidRPr="0066453B">
              <w:t>epresentativ</w:t>
            </w:r>
            <w:r>
              <w:t xml:space="preserve">e. The bill designates the </w:t>
            </w:r>
            <w:r w:rsidR="003F1C89">
              <w:t>PUC</w:t>
            </w:r>
            <w:r>
              <w:t xml:space="preserve"> executive</w:t>
            </w:r>
            <w:r>
              <w:t xml:space="preserve"> director as the committee chair and the RRC executive director as the vice</w:t>
            </w:r>
            <w:r w:rsidR="0060205B">
              <w:t xml:space="preserve"> </w:t>
            </w:r>
            <w:r>
              <w:t>chair and further provides for the committee's administration and operation</w:t>
            </w:r>
            <w:r w:rsidR="0066453B">
              <w:t>, including the provision of staff</w:t>
            </w:r>
            <w:r>
              <w:t>.</w:t>
            </w:r>
          </w:p>
          <w:p w14:paraId="4F80E74F" w14:textId="77777777" w:rsidR="00A01A15" w:rsidRDefault="00A01A15" w:rsidP="00A60CD1">
            <w:pPr>
              <w:pStyle w:val="Header"/>
              <w:jc w:val="both"/>
            </w:pPr>
          </w:p>
          <w:p w14:paraId="78FC1E32" w14:textId="77D70DBA" w:rsidR="009C36CD" w:rsidRDefault="009B1207" w:rsidP="00A60CD1">
            <w:pPr>
              <w:pStyle w:val="Header"/>
              <w:jc w:val="both"/>
            </w:pPr>
            <w:r>
              <w:t>C.S.</w:t>
            </w:r>
            <w:r w:rsidR="00A01A15">
              <w:t>H.B. 14</w:t>
            </w:r>
            <w:r w:rsidR="000F4B64">
              <w:t xml:space="preserve"> require</w:t>
            </w:r>
            <w:r w:rsidR="00C86791">
              <w:t>s</w:t>
            </w:r>
            <w:r w:rsidR="000F4B64">
              <w:t xml:space="preserve"> the committee </w:t>
            </w:r>
            <w:r w:rsidR="00BF4C33">
              <w:t>to do the following:</w:t>
            </w:r>
          </w:p>
          <w:p w14:paraId="7B1F6856" w14:textId="445640CB" w:rsidR="00BF4C33" w:rsidRDefault="009B1207" w:rsidP="00A60CD1">
            <w:pPr>
              <w:pStyle w:val="Header"/>
              <w:numPr>
                <w:ilvl w:val="0"/>
                <w:numId w:val="1"/>
              </w:numPr>
              <w:jc w:val="both"/>
            </w:pPr>
            <w:r w:rsidRPr="00BF4C33">
              <w:t xml:space="preserve">map the </w:t>
            </w:r>
            <w:r w:rsidR="005C3E32">
              <w:t xml:space="preserve">state's </w:t>
            </w:r>
            <w:r w:rsidRPr="00BF4C33">
              <w:t>electricity supply chain</w:t>
            </w:r>
            <w:r w:rsidR="000F4B64">
              <w:t xml:space="preserve"> </w:t>
            </w:r>
            <w:r w:rsidR="005C3E32">
              <w:t xml:space="preserve">in order </w:t>
            </w:r>
            <w:r w:rsidR="000F4B64">
              <w:t xml:space="preserve">to </w:t>
            </w:r>
            <w:r w:rsidR="000F4B64" w:rsidRPr="000F4B64">
              <w:t>designate priority</w:t>
            </w:r>
            <w:r w:rsidR="005C3E32">
              <w:t xml:space="preserve"> electricity</w:t>
            </w:r>
            <w:r w:rsidR="000F4B64" w:rsidRPr="000F4B64">
              <w:t xml:space="preserve"> service needs </w:t>
            </w:r>
            <w:r w:rsidR="00384EEF">
              <w:t>during</w:t>
            </w:r>
            <w:r w:rsidR="00D42EA5">
              <w:t xml:space="preserve"> </w:t>
            </w:r>
            <w:r w:rsidR="000F4B64" w:rsidRPr="000F4B64">
              <w:t>extreme weather event</w:t>
            </w:r>
            <w:r w:rsidR="0060205B">
              <w:t>s</w:t>
            </w:r>
            <w:r w:rsidRPr="00BF4C33">
              <w:t>;</w:t>
            </w:r>
          </w:p>
          <w:p w14:paraId="7EF294F6" w14:textId="598D3770" w:rsidR="00BF4C33" w:rsidRDefault="009B1207" w:rsidP="00A60CD1">
            <w:pPr>
              <w:pStyle w:val="Header"/>
              <w:numPr>
                <w:ilvl w:val="0"/>
                <w:numId w:val="1"/>
              </w:numPr>
              <w:jc w:val="both"/>
            </w:pPr>
            <w:r w:rsidRPr="00F52FA0">
              <w:t xml:space="preserve">identify </w:t>
            </w:r>
            <w:r w:rsidR="000F4B64" w:rsidRPr="00F52FA0">
              <w:t>and designate</w:t>
            </w:r>
            <w:r w:rsidR="00384EEF">
              <w:t xml:space="preserve"> the sources in</w:t>
            </w:r>
            <w:r w:rsidRPr="00F52FA0">
              <w:t xml:space="preserve"> </w:t>
            </w:r>
            <w:r w:rsidR="00384EEF">
              <w:t xml:space="preserve">the </w:t>
            </w:r>
            <w:r w:rsidRPr="00F52FA0">
              <w:t>electricity supply chain</w:t>
            </w:r>
            <w:r w:rsidR="009C0644">
              <w:t xml:space="preserve"> </w:t>
            </w:r>
            <w:r w:rsidR="00384EEF">
              <w:t>necessary to operate critical infrastructure</w:t>
            </w:r>
            <w:r w:rsidRPr="00BF4C33">
              <w:t>;</w:t>
            </w:r>
          </w:p>
          <w:p w14:paraId="3B49ACF6" w14:textId="22685067" w:rsidR="00BA3C09" w:rsidRDefault="009B1207" w:rsidP="00A60CD1">
            <w:pPr>
              <w:pStyle w:val="Header"/>
              <w:numPr>
                <w:ilvl w:val="0"/>
                <w:numId w:val="1"/>
              </w:numPr>
              <w:jc w:val="both"/>
            </w:pPr>
            <w:r w:rsidRPr="00BA3C09">
              <w:t>develop a communication sy</w:t>
            </w:r>
            <w:r w:rsidRPr="00BA3C09">
              <w:t xml:space="preserve">stem between </w:t>
            </w:r>
            <w:r w:rsidR="003F1C89">
              <w:t>t</w:t>
            </w:r>
            <w:r w:rsidR="003F1C89" w:rsidRPr="00F52FA0">
              <w:t>he</w:t>
            </w:r>
            <w:r w:rsidRPr="00BA3C09">
              <w:t xml:space="preserve"> critical infrastructure sources, the </w:t>
            </w:r>
            <w:r>
              <w:t>PUC</w:t>
            </w:r>
            <w:r w:rsidRPr="00BA3C09">
              <w:t xml:space="preserve">, and </w:t>
            </w:r>
            <w:r w:rsidR="00D42EA5">
              <w:t xml:space="preserve">the </w:t>
            </w:r>
            <w:r w:rsidR="00E4493A">
              <w:t>certified ERCOT</w:t>
            </w:r>
            <w:r w:rsidR="00D42EA5">
              <w:t xml:space="preserve"> organization</w:t>
            </w:r>
            <w:r w:rsidR="00D42EA5" w:rsidRPr="00BA3C09">
              <w:t xml:space="preserve"> </w:t>
            </w:r>
            <w:r w:rsidRPr="00BA3C09">
              <w:t xml:space="preserve">to ensure that electricity </w:t>
            </w:r>
            <w:r w:rsidR="00D42EA5">
              <w:t>an</w:t>
            </w:r>
            <w:r w:rsidR="005C3E32">
              <w:t>d</w:t>
            </w:r>
            <w:r w:rsidR="00D42EA5">
              <w:t xml:space="preserve"> natural gas supplies</w:t>
            </w:r>
            <w:r w:rsidR="00D42EA5" w:rsidRPr="00BA3C09">
              <w:t xml:space="preserve"> </w:t>
            </w:r>
            <w:r w:rsidR="00D42EA5">
              <w:t>are</w:t>
            </w:r>
            <w:r w:rsidRPr="00BA3C09">
              <w:t xml:space="preserve"> prioritized to those sources </w:t>
            </w:r>
            <w:r w:rsidR="00384EEF">
              <w:t>during</w:t>
            </w:r>
            <w:r w:rsidR="00384EEF" w:rsidRPr="00BA3C09">
              <w:t xml:space="preserve"> </w:t>
            </w:r>
            <w:r w:rsidRPr="00BA3C09">
              <w:t>an extreme weather event</w:t>
            </w:r>
            <w:r>
              <w:t>;</w:t>
            </w:r>
            <w:r w:rsidR="001B1A75">
              <w:t xml:space="preserve"> and</w:t>
            </w:r>
          </w:p>
          <w:p w14:paraId="1EACF1C3" w14:textId="6BC9F266" w:rsidR="008423E4" w:rsidRDefault="009B1207" w:rsidP="00A60CD1">
            <w:pPr>
              <w:pStyle w:val="Header"/>
              <w:numPr>
                <w:ilvl w:val="0"/>
                <w:numId w:val="1"/>
              </w:numPr>
              <w:jc w:val="both"/>
            </w:pPr>
            <w:r>
              <w:t>establish best practices</w:t>
            </w:r>
            <w:r w:rsidR="00BF4C33" w:rsidRPr="00BF4C33">
              <w:t xml:space="preserve"> to prepare</w:t>
            </w:r>
            <w:r w:rsidR="00BF4C33">
              <w:t xml:space="preserve"> </w:t>
            </w:r>
            <w:r w:rsidR="00BF4C33" w:rsidRPr="00BF4C33">
              <w:t xml:space="preserve">facilities that provide electric and </w:t>
            </w:r>
            <w:r>
              <w:t xml:space="preserve">natural </w:t>
            </w:r>
            <w:r w:rsidR="00BF4C33" w:rsidRPr="00BF4C33">
              <w:t>gas service to maintain</w:t>
            </w:r>
            <w:r w:rsidR="00BF4C33">
              <w:t xml:space="preserve"> </w:t>
            </w:r>
            <w:r w:rsidR="00BF4C33" w:rsidRPr="00BF4C33">
              <w:t>service in</w:t>
            </w:r>
            <w:r w:rsidR="000F4B64">
              <w:t xml:space="preserve"> an extreme weather event</w:t>
            </w:r>
            <w:r>
              <w:t xml:space="preserve"> and recommend oversight and compliance standards for those facilities</w:t>
            </w:r>
            <w:r w:rsidR="000F4B64">
              <w:t>.</w:t>
            </w:r>
            <w:r w:rsidR="00B75C7F">
              <w:t xml:space="preserve"> </w:t>
            </w:r>
          </w:p>
          <w:p w14:paraId="6BC37C29" w14:textId="77777777" w:rsidR="00546C14" w:rsidRDefault="00546C14" w:rsidP="00A60CD1">
            <w:pPr>
              <w:pStyle w:val="Header"/>
              <w:jc w:val="both"/>
            </w:pPr>
          </w:p>
          <w:p w14:paraId="204B7AFA" w14:textId="6BCB9AFC" w:rsidR="000F4968" w:rsidRDefault="009B1207" w:rsidP="00A60CD1">
            <w:pPr>
              <w:pStyle w:val="Header"/>
              <w:jc w:val="both"/>
            </w:pPr>
            <w:r>
              <w:t>C.S.</w:t>
            </w:r>
            <w:r w:rsidR="00546C14">
              <w:t>H</w:t>
            </w:r>
            <w:r w:rsidR="00BA3C09">
              <w:t xml:space="preserve">.B. 14 requires the PUC to </w:t>
            </w:r>
            <w:r w:rsidR="001722ED">
              <w:t>create,</w:t>
            </w:r>
            <w:r w:rsidR="00BA3C09" w:rsidRPr="00BA3C09">
              <w:t xml:space="preserve"> maintain</w:t>
            </w:r>
            <w:r w:rsidR="00D34002">
              <w:t>,</w:t>
            </w:r>
            <w:r w:rsidR="00BA3C09" w:rsidRPr="00BA3C09">
              <w:t xml:space="preserve"> </w:t>
            </w:r>
            <w:r w:rsidR="00BA3C09">
              <w:t xml:space="preserve">and annually update </w:t>
            </w:r>
            <w:r w:rsidR="00BA3C09" w:rsidRPr="00BA3C09">
              <w:t>a database</w:t>
            </w:r>
            <w:r w:rsidR="00BA3C09">
              <w:t xml:space="preserve"> </w:t>
            </w:r>
            <w:r w:rsidR="00BA3C09" w:rsidRPr="00BA3C09">
              <w:t>identifying the critical infrastructure sources with priority</w:t>
            </w:r>
            <w:r w:rsidR="00BA3C09">
              <w:t xml:space="preserve"> </w:t>
            </w:r>
            <w:r w:rsidR="00BA3C09" w:rsidRPr="00BA3C09">
              <w:t xml:space="preserve">electricity needs </w:t>
            </w:r>
            <w:r w:rsidR="00E22130">
              <w:t xml:space="preserve">to be used </w:t>
            </w:r>
            <w:r w:rsidR="00BA3C09" w:rsidRPr="00BA3C09">
              <w:t>during an extreme weather event.</w:t>
            </w:r>
            <w:r w:rsidR="00BA3C09">
              <w:t xml:space="preserve"> </w:t>
            </w:r>
            <w:r w:rsidR="00E22130">
              <w:t xml:space="preserve">The </w:t>
            </w:r>
            <w:r w:rsidR="00A145EE">
              <w:t xml:space="preserve">bill makes the </w:t>
            </w:r>
            <w:r w:rsidR="00E22130">
              <w:t xml:space="preserve">information maintained in the database confidential and </w:t>
            </w:r>
            <w:r w:rsidR="00A145EE">
              <w:t>exempt from</w:t>
            </w:r>
            <w:r w:rsidR="00E22130">
              <w:t xml:space="preserve"> disclosure under state public information law. </w:t>
            </w:r>
          </w:p>
          <w:p w14:paraId="477E7D87" w14:textId="0F7BDDCA" w:rsidR="00F1645F" w:rsidRDefault="00F1645F" w:rsidP="00A60CD1">
            <w:pPr>
              <w:pStyle w:val="Header"/>
              <w:jc w:val="both"/>
            </w:pPr>
          </w:p>
          <w:p w14:paraId="1DF853EB" w14:textId="6C5BA4C1" w:rsidR="00F1645F" w:rsidRDefault="009B1207" w:rsidP="00A60CD1">
            <w:pPr>
              <w:pStyle w:val="Header"/>
              <w:jc w:val="both"/>
            </w:pPr>
            <w:r>
              <w:t>C.S.H.B. 14 requires the committee to submit</w:t>
            </w:r>
            <w:r w:rsidRPr="001722ED">
              <w:t xml:space="preserve"> a report </w:t>
            </w:r>
            <w:r>
              <w:t xml:space="preserve">covering its activities and findings </w:t>
            </w:r>
            <w:r w:rsidRPr="001722ED">
              <w:t>to the</w:t>
            </w:r>
            <w:r>
              <w:t xml:space="preserve"> governor, lieutenant governor, speaker of the house of representatives, and legislature </w:t>
            </w:r>
            <w:r w:rsidRPr="001722ED">
              <w:t xml:space="preserve">not later than January 1, 2022, </w:t>
            </w:r>
            <w:r w:rsidRPr="00F52FA0">
              <w:t>and sets out</w:t>
            </w:r>
            <w:r>
              <w:t xml:space="preserve"> certain requiremen</w:t>
            </w:r>
            <w:r>
              <w:t xml:space="preserve">ts for </w:t>
            </w:r>
            <w:r w:rsidRPr="0066453B">
              <w:t>the content of the report.</w:t>
            </w:r>
            <w:r>
              <w:t xml:space="preserve"> The bill establishes that the report is public information, except for portions considered confidential under state or federal law.</w:t>
            </w:r>
          </w:p>
          <w:p w14:paraId="0C901B72" w14:textId="4A9FB002" w:rsidR="00E10C56" w:rsidRDefault="00E10C56" w:rsidP="00A60CD1">
            <w:pPr>
              <w:pStyle w:val="Header"/>
              <w:jc w:val="both"/>
            </w:pPr>
          </w:p>
          <w:p w14:paraId="6B300973" w14:textId="0B46F1A6" w:rsidR="00E10C56" w:rsidRDefault="009B1207" w:rsidP="00A60CD1">
            <w:pPr>
              <w:pStyle w:val="Header"/>
              <w:jc w:val="both"/>
            </w:pPr>
            <w:r>
              <w:t>C.S.H.B. 14 defines "electricity supply chain" and "natural gas delivery system" as follo</w:t>
            </w:r>
            <w:r>
              <w:t>ws:</w:t>
            </w:r>
          </w:p>
          <w:p w14:paraId="3BB1256D" w14:textId="47F505C5" w:rsidR="00E10C56" w:rsidRDefault="009B1207" w:rsidP="00A60CD1">
            <w:pPr>
              <w:pStyle w:val="Header"/>
              <w:numPr>
                <w:ilvl w:val="0"/>
                <w:numId w:val="7"/>
              </w:numPr>
              <w:jc w:val="both"/>
            </w:pPr>
            <w:r>
              <w:t>"electricity supply chain" means facilities and methods used for producing, processing, or transporting natural gas for delivery to electric generation facilities and critical infrastructure necessary to maintain electricity service; and</w:t>
            </w:r>
          </w:p>
          <w:p w14:paraId="1DEB1EBA" w14:textId="7D059B25" w:rsidR="00E10C56" w:rsidRDefault="009B1207" w:rsidP="00A60CD1">
            <w:pPr>
              <w:pStyle w:val="Header"/>
              <w:numPr>
                <w:ilvl w:val="0"/>
                <w:numId w:val="7"/>
              </w:numPr>
              <w:jc w:val="both"/>
            </w:pPr>
            <w:r>
              <w:t>"natural gas d</w:t>
            </w:r>
            <w:r>
              <w:t>elivery system" means facilities and methods used for producing, processing, or transporting natural gas for delivery to distribution gas pipeline facilities and critical infrastructure necessary to maintain natural gas service.</w:t>
            </w:r>
          </w:p>
          <w:p w14:paraId="2739E8DA" w14:textId="57C73EED" w:rsidR="00546C14" w:rsidRPr="002431ED" w:rsidRDefault="00546C14" w:rsidP="00A60CD1">
            <w:pPr>
              <w:pStyle w:val="Header"/>
              <w:jc w:val="both"/>
              <w:rPr>
                <w:b/>
              </w:rPr>
            </w:pPr>
          </w:p>
        </w:tc>
      </w:tr>
      <w:tr w:rsidR="006803E7" w14:paraId="25156933" w14:textId="77777777" w:rsidTr="00345119">
        <w:tc>
          <w:tcPr>
            <w:tcW w:w="9576" w:type="dxa"/>
          </w:tcPr>
          <w:p w14:paraId="5CA816E5" w14:textId="77777777" w:rsidR="008423E4" w:rsidRPr="00A8133F" w:rsidRDefault="009B1207" w:rsidP="00A60CD1">
            <w:pPr>
              <w:rPr>
                <w:b/>
              </w:rPr>
            </w:pPr>
            <w:r w:rsidRPr="009C1E9A">
              <w:rPr>
                <w:b/>
                <w:u w:val="single"/>
              </w:rPr>
              <w:t>EFFECTIVE DATE</w:t>
            </w:r>
            <w:r>
              <w:rPr>
                <w:b/>
              </w:rPr>
              <w:t xml:space="preserve"> </w:t>
            </w:r>
          </w:p>
          <w:p w14:paraId="37833505" w14:textId="77777777" w:rsidR="008423E4" w:rsidRDefault="008423E4" w:rsidP="00A60CD1"/>
          <w:p w14:paraId="3F95D4E3" w14:textId="77777777" w:rsidR="008423E4" w:rsidRPr="003624F2" w:rsidRDefault="009B1207" w:rsidP="00A60CD1">
            <w:pPr>
              <w:pStyle w:val="Header"/>
              <w:tabs>
                <w:tab w:val="clear" w:pos="4320"/>
                <w:tab w:val="clear" w:pos="8640"/>
              </w:tabs>
              <w:jc w:val="both"/>
            </w:pPr>
            <w:r>
              <w:t xml:space="preserve">On </w:t>
            </w:r>
            <w:r>
              <w:t>passage, or, if the bill does not receive the necessary vote, September 1, 2021.</w:t>
            </w:r>
          </w:p>
          <w:p w14:paraId="7214DAA9" w14:textId="77777777" w:rsidR="008423E4" w:rsidRPr="00233FDB" w:rsidRDefault="008423E4" w:rsidP="00A60CD1">
            <w:pPr>
              <w:rPr>
                <w:b/>
              </w:rPr>
            </w:pPr>
          </w:p>
        </w:tc>
      </w:tr>
      <w:tr w:rsidR="006803E7" w14:paraId="475839FC" w14:textId="77777777" w:rsidTr="00345119">
        <w:tc>
          <w:tcPr>
            <w:tcW w:w="9576" w:type="dxa"/>
          </w:tcPr>
          <w:p w14:paraId="5DE7B7BD" w14:textId="77777777" w:rsidR="00D14795" w:rsidRDefault="009B1207" w:rsidP="00A60CD1">
            <w:pPr>
              <w:jc w:val="both"/>
              <w:rPr>
                <w:b/>
                <w:u w:val="single"/>
              </w:rPr>
            </w:pPr>
            <w:r>
              <w:rPr>
                <w:b/>
                <w:u w:val="single"/>
              </w:rPr>
              <w:t>COMPARISON OF ORIGINAL AND SUBSTITUTE</w:t>
            </w:r>
          </w:p>
          <w:p w14:paraId="37C064E3" w14:textId="77777777" w:rsidR="00311ECF" w:rsidRDefault="00311ECF" w:rsidP="00A60CD1">
            <w:pPr>
              <w:jc w:val="both"/>
            </w:pPr>
          </w:p>
          <w:p w14:paraId="58F06ECC" w14:textId="059FABF6" w:rsidR="00311ECF" w:rsidRDefault="009B1207" w:rsidP="00A60CD1">
            <w:pPr>
              <w:jc w:val="both"/>
            </w:pPr>
            <w:r>
              <w:t xml:space="preserve">While C.S.H.B. 14 may differ from the original in minor or nonsubstantive ways, the following summarizes the substantial differences </w:t>
            </w:r>
            <w:r>
              <w:t>between the introduced and committee substitute versions of the bill.</w:t>
            </w:r>
          </w:p>
          <w:p w14:paraId="3DF58CC3" w14:textId="5359B258" w:rsidR="00311ECF" w:rsidRDefault="009B1207" w:rsidP="00A60CD1">
            <w:pPr>
              <w:jc w:val="both"/>
            </w:pPr>
            <w:r>
              <w:t xml:space="preserve"> </w:t>
            </w:r>
          </w:p>
          <w:p w14:paraId="192AF093" w14:textId="54033AD3" w:rsidR="00901EF1" w:rsidRDefault="009B1207" w:rsidP="00A60CD1">
            <w:pPr>
              <w:jc w:val="both"/>
            </w:pPr>
            <w:r>
              <w:t>Both the original and sub</w:t>
            </w:r>
            <w:r w:rsidR="004517DB">
              <w:t>stitute</w:t>
            </w:r>
            <w:r>
              <w:t xml:space="preserve"> set out a list of purposes for which the committee is established, </w:t>
            </w:r>
            <w:r w:rsidR="004517DB">
              <w:t>but</w:t>
            </w:r>
            <w:r>
              <w:t xml:space="preserve"> the s</w:t>
            </w:r>
            <w:r w:rsidR="00E14C35">
              <w:t>ubstitute revises th</w:t>
            </w:r>
            <w:r>
              <w:t>e purposes</w:t>
            </w:r>
            <w:r w:rsidR="004517DB">
              <w:t xml:space="preserve"> set out by the original</w:t>
            </w:r>
            <w:r>
              <w:t xml:space="preserve"> as follows:</w:t>
            </w:r>
          </w:p>
          <w:p w14:paraId="715E3284" w14:textId="6F227FB7" w:rsidR="00EB1FD2" w:rsidRDefault="009B1207" w:rsidP="00A60CD1">
            <w:pPr>
              <w:pStyle w:val="ListParagraph"/>
              <w:numPr>
                <w:ilvl w:val="0"/>
                <w:numId w:val="4"/>
              </w:numPr>
              <w:contextualSpacing w:val="0"/>
              <w:jc w:val="both"/>
            </w:pPr>
            <w:r>
              <w:t>includes</w:t>
            </w:r>
            <w:r>
              <w:t xml:space="preserve"> mapping</w:t>
            </w:r>
            <w:r w:rsidR="00901EF1">
              <w:t xml:space="preserve"> </w:t>
            </w:r>
            <w:r w:rsidR="003C717C">
              <w:t xml:space="preserve">the </w:t>
            </w:r>
            <w:r w:rsidR="00EB6587">
              <w:t xml:space="preserve">state's </w:t>
            </w:r>
            <w:r w:rsidR="00901EF1">
              <w:t xml:space="preserve">natural gas delivery system </w:t>
            </w:r>
            <w:r>
              <w:t xml:space="preserve">in </w:t>
            </w:r>
            <w:r w:rsidRPr="00933DEC">
              <w:t>Texas</w:t>
            </w:r>
            <w:r w:rsidR="006424B9" w:rsidRPr="00933DEC">
              <w:t xml:space="preserve"> in addition to mapping the electricity supply chain</w:t>
            </w:r>
            <w:r>
              <w:t xml:space="preserve">, whereas the original is limited only to mapping the electricity supply chain; </w:t>
            </w:r>
          </w:p>
          <w:p w14:paraId="26983089" w14:textId="39B83CAB" w:rsidR="00EB1FD2" w:rsidRDefault="009B1207" w:rsidP="00A60CD1">
            <w:pPr>
              <w:pStyle w:val="ListParagraph"/>
              <w:numPr>
                <w:ilvl w:val="0"/>
                <w:numId w:val="4"/>
              </w:numPr>
              <w:contextualSpacing w:val="0"/>
              <w:jc w:val="both"/>
            </w:pPr>
            <w:r>
              <w:t>includes</w:t>
            </w:r>
            <w:r w:rsidR="00901EF1">
              <w:t xml:space="preserve"> identify</w:t>
            </w:r>
            <w:r>
              <w:t>ing</w:t>
            </w:r>
            <w:r w:rsidR="00901EF1">
              <w:t xml:space="preserve"> critical infrastructure sources in</w:t>
            </w:r>
            <w:r>
              <w:t xml:space="preserve"> the natura</w:t>
            </w:r>
            <w:r>
              <w:t>l gas delivery system</w:t>
            </w:r>
            <w:r w:rsidR="006424B9">
              <w:t xml:space="preserve"> in addition to the electricity supply chain</w:t>
            </w:r>
            <w:r>
              <w:t>, whereas the original is limited only to identifying such sources in the electricity supply chain;</w:t>
            </w:r>
          </w:p>
          <w:p w14:paraId="6586B738" w14:textId="43F1F7A5" w:rsidR="00901EF1" w:rsidRDefault="009B1207" w:rsidP="00A60CD1">
            <w:pPr>
              <w:pStyle w:val="ListParagraph"/>
              <w:numPr>
                <w:ilvl w:val="0"/>
                <w:numId w:val="4"/>
              </w:numPr>
              <w:contextualSpacing w:val="0"/>
              <w:jc w:val="both"/>
            </w:pPr>
            <w:r>
              <w:t xml:space="preserve">provides for the committee to establish </w:t>
            </w:r>
            <w:r w:rsidR="00E14C35">
              <w:t xml:space="preserve">best practices to prepare facilities that provide electric and natural gas service to maintain service </w:t>
            </w:r>
            <w:r>
              <w:t xml:space="preserve">in an extreme weather event and recommend oversight and compliance standards for those facilities, whereas the original provided for the committee to make </w:t>
            </w:r>
            <w:r w:rsidR="00EB1FD2">
              <w:t xml:space="preserve">recommendations on measures to prepare </w:t>
            </w:r>
            <w:r w:rsidR="006424B9">
              <w:t>facilities</w:t>
            </w:r>
            <w:r w:rsidR="00EB1FD2">
              <w:t xml:space="preserve"> that provide electric and gas service to maintain service in </w:t>
            </w:r>
            <w:r>
              <w:t>such an</w:t>
            </w:r>
            <w:r w:rsidR="00EB1FD2">
              <w:t xml:space="preserve"> event</w:t>
            </w:r>
            <w:r w:rsidR="006424B9">
              <w:t>;</w:t>
            </w:r>
            <w:r w:rsidR="00EB1FD2">
              <w:t xml:space="preserve"> </w:t>
            </w:r>
            <w:r w:rsidR="00A45A18">
              <w:t>and</w:t>
            </w:r>
          </w:p>
          <w:p w14:paraId="423EB9DC" w14:textId="7C361AA7" w:rsidR="006424B9" w:rsidRDefault="009B1207" w:rsidP="00A60CD1">
            <w:pPr>
              <w:pStyle w:val="ListParagraph"/>
              <w:numPr>
                <w:ilvl w:val="0"/>
                <w:numId w:val="4"/>
              </w:numPr>
              <w:contextualSpacing w:val="0"/>
              <w:jc w:val="both"/>
            </w:pPr>
            <w:r>
              <w:t xml:space="preserve">specifies </w:t>
            </w:r>
            <w:r w:rsidR="00F1160E">
              <w:t>that</w:t>
            </w:r>
            <w:r>
              <w:t xml:space="preserve"> the original purpose to</w:t>
            </w:r>
            <w:r w:rsidR="00F1160E">
              <w:t xml:space="preserve"> designat</w:t>
            </w:r>
            <w:r>
              <w:t>e</w:t>
            </w:r>
            <w:r w:rsidR="00F1160E">
              <w:t xml:space="preserve"> priority service needs </w:t>
            </w:r>
            <w:r w:rsidR="00E4493A">
              <w:t>in extreme weather events</w:t>
            </w:r>
            <w:r>
              <w:t xml:space="preserve"> applies with respect to needs </w:t>
            </w:r>
            <w:r w:rsidR="00F1160E">
              <w:t xml:space="preserve">to prepare for, </w:t>
            </w:r>
            <w:r w:rsidR="00F1160E" w:rsidRPr="00F1160E">
              <w:t>respond to, and recover from an extreme weather event</w:t>
            </w:r>
            <w:r>
              <w:t>.</w:t>
            </w:r>
          </w:p>
          <w:p w14:paraId="1EE32123" w14:textId="76DE1E56" w:rsidR="00F1160E" w:rsidRDefault="009B1207" w:rsidP="00A60CD1">
            <w:pPr>
              <w:jc w:val="both"/>
            </w:pPr>
            <w:r>
              <w:t xml:space="preserve"> </w:t>
            </w:r>
          </w:p>
          <w:p w14:paraId="434B4451" w14:textId="1146FA72" w:rsidR="006B2CF9" w:rsidRDefault="009B1207" w:rsidP="00A60CD1">
            <w:pPr>
              <w:jc w:val="both"/>
            </w:pPr>
            <w:r>
              <w:t>The substitute updates the powers and duties established for the committee in the original to reflect the change in purpose from making recommendations on preparation measures to establishing best practices and recommending oversi</w:t>
            </w:r>
            <w:r>
              <w:t>ght and compliance standards</w:t>
            </w:r>
            <w:r w:rsidR="00AC39E4">
              <w:t>. Additionally, the substitute</w:t>
            </w:r>
            <w:r w:rsidR="00957266">
              <w:t xml:space="preserve"> require</w:t>
            </w:r>
            <w:r w:rsidR="00AC39E4">
              <w:t>s</w:t>
            </w:r>
            <w:r w:rsidR="00957266">
              <w:t xml:space="preserve"> that the communication system developed by the committee ensure that </w:t>
            </w:r>
            <w:r w:rsidR="0066453B">
              <w:t xml:space="preserve">both </w:t>
            </w:r>
            <w:r w:rsidR="00957266">
              <w:t>natural gas supplies</w:t>
            </w:r>
            <w:r w:rsidR="00EB6587">
              <w:t xml:space="preserve"> and electricity supplies</w:t>
            </w:r>
            <w:r w:rsidR="00957266">
              <w:t xml:space="preserve"> are prioritized to critical infrastructure sources during an extreme weather event, whereas the original only required prioritization of electricity supplies.</w:t>
            </w:r>
          </w:p>
          <w:p w14:paraId="06FCCFB8" w14:textId="77777777" w:rsidR="006B2CF9" w:rsidRDefault="006B2CF9" w:rsidP="00A60CD1">
            <w:pPr>
              <w:jc w:val="both"/>
            </w:pPr>
          </w:p>
          <w:p w14:paraId="3899C908" w14:textId="0534C984" w:rsidR="00CC546C" w:rsidRDefault="009B1207" w:rsidP="00A60CD1">
            <w:pPr>
              <w:jc w:val="both"/>
            </w:pPr>
            <w:r>
              <w:t>The substitute includes</w:t>
            </w:r>
            <w:r w:rsidR="00E57CF3">
              <w:t xml:space="preserve"> a provision not in the original making</w:t>
            </w:r>
            <w:r>
              <w:t xml:space="preserve"> the information maintained in the database</w:t>
            </w:r>
            <w:r w:rsidR="00E57CF3">
              <w:t xml:space="preserve"> confidential and exempt from disclosure under state public information law.</w:t>
            </w:r>
            <w:r>
              <w:t xml:space="preserve"> </w:t>
            </w:r>
          </w:p>
          <w:p w14:paraId="7D7B8DD6" w14:textId="77777777" w:rsidR="00E57CF3" w:rsidRDefault="00E57CF3" w:rsidP="00A60CD1">
            <w:pPr>
              <w:jc w:val="both"/>
            </w:pPr>
          </w:p>
          <w:p w14:paraId="2D099812" w14:textId="18A83FAE" w:rsidR="00E57CF3" w:rsidRDefault="009B1207" w:rsidP="00A60CD1">
            <w:pPr>
              <w:jc w:val="both"/>
            </w:pPr>
            <w:r>
              <w:t>The substitute revises the required contents of the committee's report</w:t>
            </w:r>
            <w:r w:rsidR="006B2CF9">
              <w:t xml:space="preserve"> as follows:</w:t>
            </w:r>
          </w:p>
          <w:p w14:paraId="17C1B97C" w14:textId="6ED4DE4E" w:rsidR="006B2CF9" w:rsidRDefault="009B1207" w:rsidP="00A60CD1">
            <w:pPr>
              <w:pStyle w:val="ListParagraph"/>
              <w:numPr>
                <w:ilvl w:val="0"/>
                <w:numId w:val="8"/>
              </w:numPr>
              <w:contextualSpacing w:val="0"/>
              <w:jc w:val="both"/>
            </w:pPr>
            <w:r>
              <w:t>whereas the original required the report to provide a detail</w:t>
            </w:r>
            <w:r w:rsidR="001E28F2">
              <w:t>ed</w:t>
            </w:r>
            <w:r>
              <w:t xml:space="preserve"> map of the electricity supply chain, the substitute requires the report to provide an overview of the committee's findings regarding mapping that supply chain;</w:t>
            </w:r>
            <w:r w:rsidR="00A45A18">
              <w:t xml:space="preserve"> and</w:t>
            </w:r>
          </w:p>
          <w:p w14:paraId="11EC5AFC" w14:textId="440833F3" w:rsidR="006B2CF9" w:rsidRDefault="009B1207" w:rsidP="00A60CD1">
            <w:pPr>
              <w:pStyle w:val="ListParagraph"/>
              <w:numPr>
                <w:ilvl w:val="0"/>
                <w:numId w:val="8"/>
              </w:numPr>
              <w:contextualSpacing w:val="0"/>
              <w:jc w:val="both"/>
            </w:pPr>
            <w:r>
              <w:t>includes a requirement not in the original that the report include a list of the establishe</w:t>
            </w:r>
            <w:r>
              <w:t>d best practices and recommended oversight and compliance standards.</w:t>
            </w:r>
          </w:p>
          <w:p w14:paraId="19EB83D5" w14:textId="0A28CB51" w:rsidR="00EB1FD2" w:rsidRDefault="009B1207" w:rsidP="00A60CD1">
            <w:pPr>
              <w:jc w:val="both"/>
            </w:pPr>
            <w:r>
              <w:t xml:space="preserve">The substitute </w:t>
            </w:r>
            <w:r w:rsidR="00E57CF3">
              <w:t xml:space="preserve">includes a provision not in the original establishing that the report is public information except for </w:t>
            </w:r>
            <w:r w:rsidR="00CC546C">
              <w:t>portions of the report considered confidential under state or federal law.</w:t>
            </w:r>
          </w:p>
          <w:p w14:paraId="07737053" w14:textId="77777777" w:rsidR="00EB1FD2" w:rsidRDefault="00EB1FD2" w:rsidP="00A60CD1">
            <w:pPr>
              <w:jc w:val="both"/>
            </w:pPr>
          </w:p>
          <w:p w14:paraId="6D283E23" w14:textId="5A0C9FF1" w:rsidR="00CC546C" w:rsidRDefault="009B1207" w:rsidP="00A60CD1">
            <w:pPr>
              <w:jc w:val="both"/>
            </w:pPr>
            <w:r>
              <w:t>The substitute includes definitions of "electricity supply chain" and "natural gas delivery system" that are not in the original.</w:t>
            </w:r>
            <w:r w:rsidR="00E10C56">
              <w:t xml:space="preserve"> </w:t>
            </w:r>
          </w:p>
          <w:p w14:paraId="7C9DA88E" w14:textId="345E05BC" w:rsidR="00311ECF" w:rsidRPr="00311ECF" w:rsidRDefault="00311ECF" w:rsidP="00A60CD1">
            <w:pPr>
              <w:jc w:val="both"/>
            </w:pPr>
          </w:p>
        </w:tc>
      </w:tr>
      <w:tr w:rsidR="006803E7" w14:paraId="60FC7E80" w14:textId="77777777" w:rsidTr="00345119">
        <w:tc>
          <w:tcPr>
            <w:tcW w:w="9576" w:type="dxa"/>
          </w:tcPr>
          <w:p w14:paraId="67A28606" w14:textId="77777777" w:rsidR="00D14795" w:rsidRPr="009C1E9A" w:rsidRDefault="00D14795" w:rsidP="00A60CD1">
            <w:pPr>
              <w:rPr>
                <w:b/>
                <w:u w:val="single"/>
              </w:rPr>
            </w:pPr>
          </w:p>
        </w:tc>
      </w:tr>
      <w:tr w:rsidR="006803E7" w14:paraId="4523AADF" w14:textId="77777777" w:rsidTr="00345119">
        <w:tc>
          <w:tcPr>
            <w:tcW w:w="9576" w:type="dxa"/>
          </w:tcPr>
          <w:p w14:paraId="56B3A73D" w14:textId="77777777" w:rsidR="00D14795" w:rsidRPr="00D14795" w:rsidRDefault="00D14795" w:rsidP="00A60CD1">
            <w:pPr>
              <w:jc w:val="both"/>
            </w:pPr>
          </w:p>
        </w:tc>
      </w:tr>
    </w:tbl>
    <w:p w14:paraId="4171A145" w14:textId="77777777" w:rsidR="008423E4" w:rsidRPr="00BE0E75" w:rsidRDefault="008423E4" w:rsidP="00A60CD1">
      <w:pPr>
        <w:jc w:val="both"/>
        <w:rPr>
          <w:rFonts w:ascii="Arial" w:hAnsi="Arial"/>
          <w:sz w:val="16"/>
          <w:szCs w:val="16"/>
        </w:rPr>
      </w:pPr>
    </w:p>
    <w:p w14:paraId="3F44A271" w14:textId="77777777" w:rsidR="004108C3" w:rsidRPr="008423E4" w:rsidRDefault="004108C3" w:rsidP="00A60CD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6461" w14:textId="77777777" w:rsidR="00000000" w:rsidRDefault="009B1207">
      <w:r>
        <w:separator/>
      </w:r>
    </w:p>
  </w:endnote>
  <w:endnote w:type="continuationSeparator" w:id="0">
    <w:p w14:paraId="2D2F3EE1" w14:textId="77777777" w:rsidR="00000000" w:rsidRDefault="009B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F62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6803E7" w14:paraId="3BCB78B2" w14:textId="77777777" w:rsidTr="009C1E9A">
      <w:trPr>
        <w:cantSplit/>
      </w:trPr>
      <w:tc>
        <w:tcPr>
          <w:tcW w:w="0" w:type="pct"/>
        </w:tcPr>
        <w:p w14:paraId="18CB1D64" w14:textId="77777777" w:rsidR="00137D90" w:rsidRDefault="00137D90" w:rsidP="009C1E9A">
          <w:pPr>
            <w:pStyle w:val="Footer"/>
            <w:tabs>
              <w:tab w:val="clear" w:pos="8640"/>
              <w:tab w:val="right" w:pos="9360"/>
            </w:tabs>
          </w:pPr>
        </w:p>
      </w:tc>
      <w:tc>
        <w:tcPr>
          <w:tcW w:w="2395" w:type="pct"/>
        </w:tcPr>
        <w:p w14:paraId="43333CA0" w14:textId="77777777" w:rsidR="00137D90" w:rsidRDefault="00137D90" w:rsidP="009C1E9A">
          <w:pPr>
            <w:pStyle w:val="Footer"/>
            <w:tabs>
              <w:tab w:val="clear" w:pos="8640"/>
              <w:tab w:val="right" w:pos="9360"/>
            </w:tabs>
          </w:pPr>
        </w:p>
        <w:p w14:paraId="1FA9A1EA" w14:textId="77777777" w:rsidR="001A4310" w:rsidRDefault="001A4310" w:rsidP="009C1E9A">
          <w:pPr>
            <w:pStyle w:val="Footer"/>
            <w:tabs>
              <w:tab w:val="clear" w:pos="8640"/>
              <w:tab w:val="right" w:pos="9360"/>
            </w:tabs>
          </w:pPr>
        </w:p>
        <w:p w14:paraId="49B5550A" w14:textId="77777777" w:rsidR="00137D90" w:rsidRDefault="00137D90" w:rsidP="009C1E9A">
          <w:pPr>
            <w:pStyle w:val="Footer"/>
            <w:tabs>
              <w:tab w:val="clear" w:pos="8640"/>
              <w:tab w:val="right" w:pos="9360"/>
            </w:tabs>
          </w:pPr>
        </w:p>
      </w:tc>
      <w:tc>
        <w:tcPr>
          <w:tcW w:w="2453" w:type="pct"/>
        </w:tcPr>
        <w:p w14:paraId="4C8C41F7" w14:textId="77777777" w:rsidR="00137D90" w:rsidRDefault="00137D90" w:rsidP="009C1E9A">
          <w:pPr>
            <w:pStyle w:val="Footer"/>
            <w:tabs>
              <w:tab w:val="clear" w:pos="8640"/>
              <w:tab w:val="right" w:pos="9360"/>
            </w:tabs>
            <w:jc w:val="right"/>
          </w:pPr>
        </w:p>
      </w:tc>
    </w:tr>
    <w:tr w:rsidR="006803E7" w14:paraId="754F15AA" w14:textId="77777777" w:rsidTr="009C1E9A">
      <w:trPr>
        <w:cantSplit/>
      </w:trPr>
      <w:tc>
        <w:tcPr>
          <w:tcW w:w="0" w:type="pct"/>
        </w:tcPr>
        <w:p w14:paraId="07E227F3" w14:textId="77777777" w:rsidR="00EC379B" w:rsidRDefault="00EC379B" w:rsidP="009C1E9A">
          <w:pPr>
            <w:pStyle w:val="Footer"/>
            <w:tabs>
              <w:tab w:val="clear" w:pos="8640"/>
              <w:tab w:val="right" w:pos="9360"/>
            </w:tabs>
          </w:pPr>
        </w:p>
      </w:tc>
      <w:tc>
        <w:tcPr>
          <w:tcW w:w="2395" w:type="pct"/>
        </w:tcPr>
        <w:p w14:paraId="0A233C3E" w14:textId="07E1F3BD" w:rsidR="00EC379B" w:rsidRPr="009C1E9A" w:rsidRDefault="009B1207" w:rsidP="009C1E9A">
          <w:pPr>
            <w:pStyle w:val="Footer"/>
            <w:tabs>
              <w:tab w:val="clear" w:pos="8640"/>
              <w:tab w:val="right" w:pos="9360"/>
            </w:tabs>
            <w:rPr>
              <w:rFonts w:ascii="Shruti" w:hAnsi="Shruti"/>
              <w:sz w:val="22"/>
            </w:rPr>
          </w:pPr>
          <w:r>
            <w:rPr>
              <w:rFonts w:ascii="Shruti" w:hAnsi="Shruti"/>
              <w:sz w:val="22"/>
            </w:rPr>
            <w:t>87R 18781</w:t>
          </w:r>
        </w:p>
      </w:tc>
      <w:tc>
        <w:tcPr>
          <w:tcW w:w="2453" w:type="pct"/>
        </w:tcPr>
        <w:p w14:paraId="04CADB63" w14:textId="7E087B68" w:rsidR="00EC379B" w:rsidRDefault="009B1207" w:rsidP="009C1E9A">
          <w:pPr>
            <w:pStyle w:val="Footer"/>
            <w:tabs>
              <w:tab w:val="clear" w:pos="8640"/>
              <w:tab w:val="right" w:pos="9360"/>
            </w:tabs>
            <w:jc w:val="right"/>
          </w:pPr>
          <w:r>
            <w:fldChar w:fldCharType="begin"/>
          </w:r>
          <w:r>
            <w:instrText xml:space="preserve"> DOCPROPERTY  OTID  \* MERGEFORMAT </w:instrText>
          </w:r>
          <w:r>
            <w:fldChar w:fldCharType="separate"/>
          </w:r>
          <w:r w:rsidR="00D70890">
            <w:t>21.103.2015</w:t>
          </w:r>
          <w:r>
            <w:fldChar w:fldCharType="end"/>
          </w:r>
        </w:p>
      </w:tc>
    </w:tr>
    <w:tr w:rsidR="006803E7" w14:paraId="5621A02C" w14:textId="77777777" w:rsidTr="009C1E9A">
      <w:trPr>
        <w:cantSplit/>
      </w:trPr>
      <w:tc>
        <w:tcPr>
          <w:tcW w:w="0" w:type="pct"/>
        </w:tcPr>
        <w:p w14:paraId="75FF1D81" w14:textId="77777777" w:rsidR="00EC379B" w:rsidRDefault="00EC379B" w:rsidP="009C1E9A">
          <w:pPr>
            <w:pStyle w:val="Footer"/>
            <w:tabs>
              <w:tab w:val="clear" w:pos="4320"/>
              <w:tab w:val="clear" w:pos="8640"/>
              <w:tab w:val="left" w:pos="2865"/>
            </w:tabs>
          </w:pPr>
        </w:p>
      </w:tc>
      <w:tc>
        <w:tcPr>
          <w:tcW w:w="2395" w:type="pct"/>
        </w:tcPr>
        <w:p w14:paraId="571BDCB7" w14:textId="470524ED" w:rsidR="00EC379B" w:rsidRPr="009C1E9A" w:rsidRDefault="009B1207" w:rsidP="009C1E9A">
          <w:pPr>
            <w:pStyle w:val="Footer"/>
            <w:tabs>
              <w:tab w:val="clear" w:pos="4320"/>
              <w:tab w:val="clear" w:pos="8640"/>
              <w:tab w:val="left" w:pos="2865"/>
            </w:tabs>
            <w:rPr>
              <w:rFonts w:ascii="Shruti" w:hAnsi="Shruti"/>
              <w:sz w:val="22"/>
            </w:rPr>
          </w:pPr>
          <w:r>
            <w:rPr>
              <w:rFonts w:ascii="Shruti" w:hAnsi="Shruti"/>
              <w:sz w:val="22"/>
            </w:rPr>
            <w:t>Substitute Document Number: 87R 17917</w:t>
          </w:r>
        </w:p>
      </w:tc>
      <w:tc>
        <w:tcPr>
          <w:tcW w:w="2453" w:type="pct"/>
        </w:tcPr>
        <w:p w14:paraId="62EF4640" w14:textId="77777777" w:rsidR="00EC379B" w:rsidRDefault="00EC379B" w:rsidP="006D504F">
          <w:pPr>
            <w:pStyle w:val="Footer"/>
            <w:rPr>
              <w:rStyle w:val="PageNumber"/>
            </w:rPr>
          </w:pPr>
        </w:p>
        <w:p w14:paraId="1066E310" w14:textId="77777777" w:rsidR="00EC379B" w:rsidRDefault="00EC379B" w:rsidP="009C1E9A">
          <w:pPr>
            <w:pStyle w:val="Footer"/>
            <w:tabs>
              <w:tab w:val="clear" w:pos="8640"/>
              <w:tab w:val="right" w:pos="9360"/>
            </w:tabs>
            <w:jc w:val="right"/>
          </w:pPr>
        </w:p>
      </w:tc>
    </w:tr>
    <w:tr w:rsidR="006803E7" w14:paraId="5DBF4808" w14:textId="77777777" w:rsidTr="009C1E9A">
      <w:trPr>
        <w:cantSplit/>
        <w:trHeight w:val="323"/>
      </w:trPr>
      <w:tc>
        <w:tcPr>
          <w:tcW w:w="0" w:type="pct"/>
          <w:gridSpan w:val="3"/>
        </w:tcPr>
        <w:p w14:paraId="630A9D23" w14:textId="73FB4A75" w:rsidR="00EC379B" w:rsidRDefault="009B120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60CD1">
            <w:rPr>
              <w:rStyle w:val="PageNumber"/>
              <w:noProof/>
            </w:rPr>
            <w:t>1</w:t>
          </w:r>
          <w:r>
            <w:rPr>
              <w:rStyle w:val="PageNumber"/>
            </w:rPr>
            <w:fldChar w:fldCharType="end"/>
          </w:r>
        </w:p>
        <w:p w14:paraId="293B29CC" w14:textId="77777777" w:rsidR="00EC379B" w:rsidRDefault="00EC379B" w:rsidP="009C1E9A">
          <w:pPr>
            <w:pStyle w:val="Footer"/>
            <w:tabs>
              <w:tab w:val="clear" w:pos="8640"/>
              <w:tab w:val="right" w:pos="9360"/>
            </w:tabs>
            <w:jc w:val="center"/>
          </w:pPr>
        </w:p>
      </w:tc>
    </w:tr>
  </w:tbl>
  <w:p w14:paraId="0E3B3B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401B"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8E44" w14:textId="77777777" w:rsidR="00000000" w:rsidRDefault="009B1207">
      <w:r>
        <w:separator/>
      </w:r>
    </w:p>
  </w:footnote>
  <w:footnote w:type="continuationSeparator" w:id="0">
    <w:p w14:paraId="1D185FB8" w14:textId="77777777" w:rsidR="00000000" w:rsidRDefault="009B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BF6C"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8B4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038"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281D"/>
    <w:multiLevelType w:val="hybridMultilevel"/>
    <w:tmpl w:val="354C0548"/>
    <w:lvl w:ilvl="0" w:tplc="EA0EA1B6">
      <w:start w:val="1"/>
      <w:numFmt w:val="bullet"/>
      <w:lvlText w:val=""/>
      <w:lvlJc w:val="left"/>
      <w:pPr>
        <w:tabs>
          <w:tab w:val="num" w:pos="720"/>
        </w:tabs>
        <w:ind w:left="720" w:hanging="360"/>
      </w:pPr>
      <w:rPr>
        <w:rFonts w:ascii="Symbol" w:hAnsi="Symbol" w:hint="default"/>
      </w:rPr>
    </w:lvl>
    <w:lvl w:ilvl="1" w:tplc="43D0F068" w:tentative="1">
      <w:start w:val="1"/>
      <w:numFmt w:val="bullet"/>
      <w:lvlText w:val="o"/>
      <w:lvlJc w:val="left"/>
      <w:pPr>
        <w:ind w:left="1440" w:hanging="360"/>
      </w:pPr>
      <w:rPr>
        <w:rFonts w:ascii="Courier New" w:hAnsi="Courier New" w:cs="Courier New" w:hint="default"/>
      </w:rPr>
    </w:lvl>
    <w:lvl w:ilvl="2" w:tplc="4CDC121C" w:tentative="1">
      <w:start w:val="1"/>
      <w:numFmt w:val="bullet"/>
      <w:lvlText w:val=""/>
      <w:lvlJc w:val="left"/>
      <w:pPr>
        <w:ind w:left="2160" w:hanging="360"/>
      </w:pPr>
      <w:rPr>
        <w:rFonts w:ascii="Wingdings" w:hAnsi="Wingdings" w:hint="default"/>
      </w:rPr>
    </w:lvl>
    <w:lvl w:ilvl="3" w:tplc="094CE550" w:tentative="1">
      <w:start w:val="1"/>
      <w:numFmt w:val="bullet"/>
      <w:lvlText w:val=""/>
      <w:lvlJc w:val="left"/>
      <w:pPr>
        <w:ind w:left="2880" w:hanging="360"/>
      </w:pPr>
      <w:rPr>
        <w:rFonts w:ascii="Symbol" w:hAnsi="Symbol" w:hint="default"/>
      </w:rPr>
    </w:lvl>
    <w:lvl w:ilvl="4" w:tplc="CA467D14" w:tentative="1">
      <w:start w:val="1"/>
      <w:numFmt w:val="bullet"/>
      <w:lvlText w:val="o"/>
      <w:lvlJc w:val="left"/>
      <w:pPr>
        <w:ind w:left="3600" w:hanging="360"/>
      </w:pPr>
      <w:rPr>
        <w:rFonts w:ascii="Courier New" w:hAnsi="Courier New" w:cs="Courier New" w:hint="default"/>
      </w:rPr>
    </w:lvl>
    <w:lvl w:ilvl="5" w:tplc="D040B57A" w:tentative="1">
      <w:start w:val="1"/>
      <w:numFmt w:val="bullet"/>
      <w:lvlText w:val=""/>
      <w:lvlJc w:val="left"/>
      <w:pPr>
        <w:ind w:left="4320" w:hanging="360"/>
      </w:pPr>
      <w:rPr>
        <w:rFonts w:ascii="Wingdings" w:hAnsi="Wingdings" w:hint="default"/>
      </w:rPr>
    </w:lvl>
    <w:lvl w:ilvl="6" w:tplc="7AE63CDA" w:tentative="1">
      <w:start w:val="1"/>
      <w:numFmt w:val="bullet"/>
      <w:lvlText w:val=""/>
      <w:lvlJc w:val="left"/>
      <w:pPr>
        <w:ind w:left="5040" w:hanging="360"/>
      </w:pPr>
      <w:rPr>
        <w:rFonts w:ascii="Symbol" w:hAnsi="Symbol" w:hint="default"/>
      </w:rPr>
    </w:lvl>
    <w:lvl w:ilvl="7" w:tplc="DC0088F6" w:tentative="1">
      <w:start w:val="1"/>
      <w:numFmt w:val="bullet"/>
      <w:lvlText w:val="o"/>
      <w:lvlJc w:val="left"/>
      <w:pPr>
        <w:ind w:left="5760" w:hanging="360"/>
      </w:pPr>
      <w:rPr>
        <w:rFonts w:ascii="Courier New" w:hAnsi="Courier New" w:cs="Courier New" w:hint="default"/>
      </w:rPr>
    </w:lvl>
    <w:lvl w:ilvl="8" w:tplc="E8B4C07C" w:tentative="1">
      <w:start w:val="1"/>
      <w:numFmt w:val="bullet"/>
      <w:lvlText w:val=""/>
      <w:lvlJc w:val="left"/>
      <w:pPr>
        <w:ind w:left="6480" w:hanging="360"/>
      </w:pPr>
      <w:rPr>
        <w:rFonts w:ascii="Wingdings" w:hAnsi="Wingdings" w:hint="default"/>
      </w:rPr>
    </w:lvl>
  </w:abstractNum>
  <w:abstractNum w:abstractNumId="1" w15:restartNumberingAfterBreak="0">
    <w:nsid w:val="0D5D5392"/>
    <w:multiLevelType w:val="hybridMultilevel"/>
    <w:tmpl w:val="9C04AB54"/>
    <w:lvl w:ilvl="0" w:tplc="98D48F1A">
      <w:start w:val="1"/>
      <w:numFmt w:val="bullet"/>
      <w:lvlText w:val=""/>
      <w:lvlJc w:val="left"/>
      <w:pPr>
        <w:tabs>
          <w:tab w:val="num" w:pos="720"/>
        </w:tabs>
        <w:ind w:left="720" w:hanging="360"/>
      </w:pPr>
      <w:rPr>
        <w:rFonts w:ascii="Symbol" w:hAnsi="Symbol" w:hint="default"/>
      </w:rPr>
    </w:lvl>
    <w:lvl w:ilvl="1" w:tplc="782E088E" w:tentative="1">
      <w:start w:val="1"/>
      <w:numFmt w:val="bullet"/>
      <w:lvlText w:val="o"/>
      <w:lvlJc w:val="left"/>
      <w:pPr>
        <w:ind w:left="1440" w:hanging="360"/>
      </w:pPr>
      <w:rPr>
        <w:rFonts w:ascii="Courier New" w:hAnsi="Courier New" w:cs="Courier New" w:hint="default"/>
      </w:rPr>
    </w:lvl>
    <w:lvl w:ilvl="2" w:tplc="A8EA8CA0" w:tentative="1">
      <w:start w:val="1"/>
      <w:numFmt w:val="bullet"/>
      <w:lvlText w:val=""/>
      <w:lvlJc w:val="left"/>
      <w:pPr>
        <w:ind w:left="2160" w:hanging="360"/>
      </w:pPr>
      <w:rPr>
        <w:rFonts w:ascii="Wingdings" w:hAnsi="Wingdings" w:hint="default"/>
      </w:rPr>
    </w:lvl>
    <w:lvl w:ilvl="3" w:tplc="658AFE10" w:tentative="1">
      <w:start w:val="1"/>
      <w:numFmt w:val="bullet"/>
      <w:lvlText w:val=""/>
      <w:lvlJc w:val="left"/>
      <w:pPr>
        <w:ind w:left="2880" w:hanging="360"/>
      </w:pPr>
      <w:rPr>
        <w:rFonts w:ascii="Symbol" w:hAnsi="Symbol" w:hint="default"/>
      </w:rPr>
    </w:lvl>
    <w:lvl w:ilvl="4" w:tplc="58EA67D2" w:tentative="1">
      <w:start w:val="1"/>
      <w:numFmt w:val="bullet"/>
      <w:lvlText w:val="o"/>
      <w:lvlJc w:val="left"/>
      <w:pPr>
        <w:ind w:left="3600" w:hanging="360"/>
      </w:pPr>
      <w:rPr>
        <w:rFonts w:ascii="Courier New" w:hAnsi="Courier New" w:cs="Courier New" w:hint="default"/>
      </w:rPr>
    </w:lvl>
    <w:lvl w:ilvl="5" w:tplc="632E74E0" w:tentative="1">
      <w:start w:val="1"/>
      <w:numFmt w:val="bullet"/>
      <w:lvlText w:val=""/>
      <w:lvlJc w:val="left"/>
      <w:pPr>
        <w:ind w:left="4320" w:hanging="360"/>
      </w:pPr>
      <w:rPr>
        <w:rFonts w:ascii="Wingdings" w:hAnsi="Wingdings" w:hint="default"/>
      </w:rPr>
    </w:lvl>
    <w:lvl w:ilvl="6" w:tplc="10945322" w:tentative="1">
      <w:start w:val="1"/>
      <w:numFmt w:val="bullet"/>
      <w:lvlText w:val=""/>
      <w:lvlJc w:val="left"/>
      <w:pPr>
        <w:ind w:left="5040" w:hanging="360"/>
      </w:pPr>
      <w:rPr>
        <w:rFonts w:ascii="Symbol" w:hAnsi="Symbol" w:hint="default"/>
      </w:rPr>
    </w:lvl>
    <w:lvl w:ilvl="7" w:tplc="C4AC9BCA" w:tentative="1">
      <w:start w:val="1"/>
      <w:numFmt w:val="bullet"/>
      <w:lvlText w:val="o"/>
      <w:lvlJc w:val="left"/>
      <w:pPr>
        <w:ind w:left="5760" w:hanging="360"/>
      </w:pPr>
      <w:rPr>
        <w:rFonts w:ascii="Courier New" w:hAnsi="Courier New" w:cs="Courier New" w:hint="default"/>
      </w:rPr>
    </w:lvl>
    <w:lvl w:ilvl="8" w:tplc="29203D1E" w:tentative="1">
      <w:start w:val="1"/>
      <w:numFmt w:val="bullet"/>
      <w:lvlText w:val=""/>
      <w:lvlJc w:val="left"/>
      <w:pPr>
        <w:ind w:left="6480" w:hanging="360"/>
      </w:pPr>
      <w:rPr>
        <w:rFonts w:ascii="Wingdings" w:hAnsi="Wingdings" w:hint="default"/>
      </w:rPr>
    </w:lvl>
  </w:abstractNum>
  <w:abstractNum w:abstractNumId="2" w15:restartNumberingAfterBreak="0">
    <w:nsid w:val="1FE972E6"/>
    <w:multiLevelType w:val="hybridMultilevel"/>
    <w:tmpl w:val="64FCA6A2"/>
    <w:lvl w:ilvl="0" w:tplc="8B70CBD8">
      <w:start w:val="1"/>
      <w:numFmt w:val="bullet"/>
      <w:lvlText w:val=""/>
      <w:lvlJc w:val="left"/>
      <w:pPr>
        <w:tabs>
          <w:tab w:val="num" w:pos="720"/>
        </w:tabs>
        <w:ind w:left="720" w:hanging="360"/>
      </w:pPr>
      <w:rPr>
        <w:rFonts w:ascii="Symbol" w:hAnsi="Symbol" w:hint="default"/>
      </w:rPr>
    </w:lvl>
    <w:lvl w:ilvl="1" w:tplc="D8B8B9A4" w:tentative="1">
      <w:start w:val="1"/>
      <w:numFmt w:val="bullet"/>
      <w:lvlText w:val="o"/>
      <w:lvlJc w:val="left"/>
      <w:pPr>
        <w:ind w:left="1440" w:hanging="360"/>
      </w:pPr>
      <w:rPr>
        <w:rFonts w:ascii="Courier New" w:hAnsi="Courier New" w:cs="Courier New" w:hint="default"/>
      </w:rPr>
    </w:lvl>
    <w:lvl w:ilvl="2" w:tplc="5F4E9C4E" w:tentative="1">
      <w:start w:val="1"/>
      <w:numFmt w:val="bullet"/>
      <w:lvlText w:val=""/>
      <w:lvlJc w:val="left"/>
      <w:pPr>
        <w:ind w:left="2160" w:hanging="360"/>
      </w:pPr>
      <w:rPr>
        <w:rFonts w:ascii="Wingdings" w:hAnsi="Wingdings" w:hint="default"/>
      </w:rPr>
    </w:lvl>
    <w:lvl w:ilvl="3" w:tplc="FAA4305E" w:tentative="1">
      <w:start w:val="1"/>
      <w:numFmt w:val="bullet"/>
      <w:lvlText w:val=""/>
      <w:lvlJc w:val="left"/>
      <w:pPr>
        <w:ind w:left="2880" w:hanging="360"/>
      </w:pPr>
      <w:rPr>
        <w:rFonts w:ascii="Symbol" w:hAnsi="Symbol" w:hint="default"/>
      </w:rPr>
    </w:lvl>
    <w:lvl w:ilvl="4" w:tplc="F15E57D4" w:tentative="1">
      <w:start w:val="1"/>
      <w:numFmt w:val="bullet"/>
      <w:lvlText w:val="o"/>
      <w:lvlJc w:val="left"/>
      <w:pPr>
        <w:ind w:left="3600" w:hanging="360"/>
      </w:pPr>
      <w:rPr>
        <w:rFonts w:ascii="Courier New" w:hAnsi="Courier New" w:cs="Courier New" w:hint="default"/>
      </w:rPr>
    </w:lvl>
    <w:lvl w:ilvl="5" w:tplc="F3F45E66" w:tentative="1">
      <w:start w:val="1"/>
      <w:numFmt w:val="bullet"/>
      <w:lvlText w:val=""/>
      <w:lvlJc w:val="left"/>
      <w:pPr>
        <w:ind w:left="4320" w:hanging="360"/>
      </w:pPr>
      <w:rPr>
        <w:rFonts w:ascii="Wingdings" w:hAnsi="Wingdings" w:hint="default"/>
      </w:rPr>
    </w:lvl>
    <w:lvl w:ilvl="6" w:tplc="E7CADE72" w:tentative="1">
      <w:start w:val="1"/>
      <w:numFmt w:val="bullet"/>
      <w:lvlText w:val=""/>
      <w:lvlJc w:val="left"/>
      <w:pPr>
        <w:ind w:left="5040" w:hanging="360"/>
      </w:pPr>
      <w:rPr>
        <w:rFonts w:ascii="Symbol" w:hAnsi="Symbol" w:hint="default"/>
      </w:rPr>
    </w:lvl>
    <w:lvl w:ilvl="7" w:tplc="5CEE7F80" w:tentative="1">
      <w:start w:val="1"/>
      <w:numFmt w:val="bullet"/>
      <w:lvlText w:val="o"/>
      <w:lvlJc w:val="left"/>
      <w:pPr>
        <w:ind w:left="5760" w:hanging="360"/>
      </w:pPr>
      <w:rPr>
        <w:rFonts w:ascii="Courier New" w:hAnsi="Courier New" w:cs="Courier New" w:hint="default"/>
      </w:rPr>
    </w:lvl>
    <w:lvl w:ilvl="8" w:tplc="C1B84AE6" w:tentative="1">
      <w:start w:val="1"/>
      <w:numFmt w:val="bullet"/>
      <w:lvlText w:val=""/>
      <w:lvlJc w:val="left"/>
      <w:pPr>
        <w:ind w:left="6480" w:hanging="360"/>
      </w:pPr>
      <w:rPr>
        <w:rFonts w:ascii="Wingdings" w:hAnsi="Wingdings" w:hint="default"/>
      </w:rPr>
    </w:lvl>
  </w:abstractNum>
  <w:abstractNum w:abstractNumId="3" w15:restartNumberingAfterBreak="0">
    <w:nsid w:val="54B737DA"/>
    <w:multiLevelType w:val="hybridMultilevel"/>
    <w:tmpl w:val="E4C2739A"/>
    <w:lvl w:ilvl="0" w:tplc="5718BEAA">
      <w:start w:val="1"/>
      <w:numFmt w:val="bullet"/>
      <w:lvlText w:val=""/>
      <w:lvlJc w:val="left"/>
      <w:pPr>
        <w:tabs>
          <w:tab w:val="num" w:pos="720"/>
        </w:tabs>
        <w:ind w:left="720" w:hanging="360"/>
      </w:pPr>
      <w:rPr>
        <w:rFonts w:ascii="Symbol" w:hAnsi="Symbol" w:hint="default"/>
      </w:rPr>
    </w:lvl>
    <w:lvl w:ilvl="1" w:tplc="10B0B38E" w:tentative="1">
      <w:start w:val="1"/>
      <w:numFmt w:val="bullet"/>
      <w:lvlText w:val="o"/>
      <w:lvlJc w:val="left"/>
      <w:pPr>
        <w:ind w:left="1440" w:hanging="360"/>
      </w:pPr>
      <w:rPr>
        <w:rFonts w:ascii="Courier New" w:hAnsi="Courier New" w:cs="Courier New" w:hint="default"/>
      </w:rPr>
    </w:lvl>
    <w:lvl w:ilvl="2" w:tplc="C3C86EB2" w:tentative="1">
      <w:start w:val="1"/>
      <w:numFmt w:val="bullet"/>
      <w:lvlText w:val=""/>
      <w:lvlJc w:val="left"/>
      <w:pPr>
        <w:ind w:left="2160" w:hanging="360"/>
      </w:pPr>
      <w:rPr>
        <w:rFonts w:ascii="Wingdings" w:hAnsi="Wingdings" w:hint="default"/>
      </w:rPr>
    </w:lvl>
    <w:lvl w:ilvl="3" w:tplc="37D0B550" w:tentative="1">
      <w:start w:val="1"/>
      <w:numFmt w:val="bullet"/>
      <w:lvlText w:val=""/>
      <w:lvlJc w:val="left"/>
      <w:pPr>
        <w:ind w:left="2880" w:hanging="360"/>
      </w:pPr>
      <w:rPr>
        <w:rFonts w:ascii="Symbol" w:hAnsi="Symbol" w:hint="default"/>
      </w:rPr>
    </w:lvl>
    <w:lvl w:ilvl="4" w:tplc="4388380A" w:tentative="1">
      <w:start w:val="1"/>
      <w:numFmt w:val="bullet"/>
      <w:lvlText w:val="o"/>
      <w:lvlJc w:val="left"/>
      <w:pPr>
        <w:ind w:left="3600" w:hanging="360"/>
      </w:pPr>
      <w:rPr>
        <w:rFonts w:ascii="Courier New" w:hAnsi="Courier New" w:cs="Courier New" w:hint="default"/>
      </w:rPr>
    </w:lvl>
    <w:lvl w:ilvl="5" w:tplc="6994E722" w:tentative="1">
      <w:start w:val="1"/>
      <w:numFmt w:val="bullet"/>
      <w:lvlText w:val=""/>
      <w:lvlJc w:val="left"/>
      <w:pPr>
        <w:ind w:left="4320" w:hanging="360"/>
      </w:pPr>
      <w:rPr>
        <w:rFonts w:ascii="Wingdings" w:hAnsi="Wingdings" w:hint="default"/>
      </w:rPr>
    </w:lvl>
    <w:lvl w:ilvl="6" w:tplc="8B40B8C4" w:tentative="1">
      <w:start w:val="1"/>
      <w:numFmt w:val="bullet"/>
      <w:lvlText w:val=""/>
      <w:lvlJc w:val="left"/>
      <w:pPr>
        <w:ind w:left="5040" w:hanging="360"/>
      </w:pPr>
      <w:rPr>
        <w:rFonts w:ascii="Symbol" w:hAnsi="Symbol" w:hint="default"/>
      </w:rPr>
    </w:lvl>
    <w:lvl w:ilvl="7" w:tplc="C3E23A14" w:tentative="1">
      <w:start w:val="1"/>
      <w:numFmt w:val="bullet"/>
      <w:lvlText w:val="o"/>
      <w:lvlJc w:val="left"/>
      <w:pPr>
        <w:ind w:left="5760" w:hanging="360"/>
      </w:pPr>
      <w:rPr>
        <w:rFonts w:ascii="Courier New" w:hAnsi="Courier New" w:cs="Courier New" w:hint="default"/>
      </w:rPr>
    </w:lvl>
    <w:lvl w:ilvl="8" w:tplc="92CE6CF6" w:tentative="1">
      <w:start w:val="1"/>
      <w:numFmt w:val="bullet"/>
      <w:lvlText w:val=""/>
      <w:lvlJc w:val="left"/>
      <w:pPr>
        <w:ind w:left="6480" w:hanging="360"/>
      </w:pPr>
      <w:rPr>
        <w:rFonts w:ascii="Wingdings" w:hAnsi="Wingdings" w:hint="default"/>
      </w:rPr>
    </w:lvl>
  </w:abstractNum>
  <w:abstractNum w:abstractNumId="4" w15:restartNumberingAfterBreak="0">
    <w:nsid w:val="5D0847B4"/>
    <w:multiLevelType w:val="hybridMultilevel"/>
    <w:tmpl w:val="24FC639A"/>
    <w:lvl w:ilvl="0" w:tplc="3D487D30">
      <w:start w:val="1"/>
      <w:numFmt w:val="bullet"/>
      <w:lvlText w:val=""/>
      <w:lvlJc w:val="left"/>
      <w:pPr>
        <w:tabs>
          <w:tab w:val="num" w:pos="720"/>
        </w:tabs>
        <w:ind w:left="720" w:hanging="360"/>
      </w:pPr>
      <w:rPr>
        <w:rFonts w:ascii="Symbol" w:hAnsi="Symbol" w:hint="default"/>
      </w:rPr>
    </w:lvl>
    <w:lvl w:ilvl="1" w:tplc="072CA708" w:tentative="1">
      <w:start w:val="1"/>
      <w:numFmt w:val="bullet"/>
      <w:lvlText w:val="o"/>
      <w:lvlJc w:val="left"/>
      <w:pPr>
        <w:ind w:left="1440" w:hanging="360"/>
      </w:pPr>
      <w:rPr>
        <w:rFonts w:ascii="Courier New" w:hAnsi="Courier New" w:cs="Courier New" w:hint="default"/>
      </w:rPr>
    </w:lvl>
    <w:lvl w:ilvl="2" w:tplc="8EAE46B8" w:tentative="1">
      <w:start w:val="1"/>
      <w:numFmt w:val="bullet"/>
      <w:lvlText w:val=""/>
      <w:lvlJc w:val="left"/>
      <w:pPr>
        <w:ind w:left="2160" w:hanging="360"/>
      </w:pPr>
      <w:rPr>
        <w:rFonts w:ascii="Wingdings" w:hAnsi="Wingdings" w:hint="default"/>
      </w:rPr>
    </w:lvl>
    <w:lvl w:ilvl="3" w:tplc="8A0A221E" w:tentative="1">
      <w:start w:val="1"/>
      <w:numFmt w:val="bullet"/>
      <w:lvlText w:val=""/>
      <w:lvlJc w:val="left"/>
      <w:pPr>
        <w:ind w:left="2880" w:hanging="360"/>
      </w:pPr>
      <w:rPr>
        <w:rFonts w:ascii="Symbol" w:hAnsi="Symbol" w:hint="default"/>
      </w:rPr>
    </w:lvl>
    <w:lvl w:ilvl="4" w:tplc="2C0665A6" w:tentative="1">
      <w:start w:val="1"/>
      <w:numFmt w:val="bullet"/>
      <w:lvlText w:val="o"/>
      <w:lvlJc w:val="left"/>
      <w:pPr>
        <w:ind w:left="3600" w:hanging="360"/>
      </w:pPr>
      <w:rPr>
        <w:rFonts w:ascii="Courier New" w:hAnsi="Courier New" w:cs="Courier New" w:hint="default"/>
      </w:rPr>
    </w:lvl>
    <w:lvl w:ilvl="5" w:tplc="FB2A4368" w:tentative="1">
      <w:start w:val="1"/>
      <w:numFmt w:val="bullet"/>
      <w:lvlText w:val=""/>
      <w:lvlJc w:val="left"/>
      <w:pPr>
        <w:ind w:left="4320" w:hanging="360"/>
      </w:pPr>
      <w:rPr>
        <w:rFonts w:ascii="Wingdings" w:hAnsi="Wingdings" w:hint="default"/>
      </w:rPr>
    </w:lvl>
    <w:lvl w:ilvl="6" w:tplc="7FC87EFA" w:tentative="1">
      <w:start w:val="1"/>
      <w:numFmt w:val="bullet"/>
      <w:lvlText w:val=""/>
      <w:lvlJc w:val="left"/>
      <w:pPr>
        <w:ind w:left="5040" w:hanging="360"/>
      </w:pPr>
      <w:rPr>
        <w:rFonts w:ascii="Symbol" w:hAnsi="Symbol" w:hint="default"/>
      </w:rPr>
    </w:lvl>
    <w:lvl w:ilvl="7" w:tplc="C2561130" w:tentative="1">
      <w:start w:val="1"/>
      <w:numFmt w:val="bullet"/>
      <w:lvlText w:val="o"/>
      <w:lvlJc w:val="left"/>
      <w:pPr>
        <w:ind w:left="5760" w:hanging="360"/>
      </w:pPr>
      <w:rPr>
        <w:rFonts w:ascii="Courier New" w:hAnsi="Courier New" w:cs="Courier New" w:hint="default"/>
      </w:rPr>
    </w:lvl>
    <w:lvl w:ilvl="8" w:tplc="E4482986" w:tentative="1">
      <w:start w:val="1"/>
      <w:numFmt w:val="bullet"/>
      <w:lvlText w:val=""/>
      <w:lvlJc w:val="left"/>
      <w:pPr>
        <w:ind w:left="6480" w:hanging="360"/>
      </w:pPr>
      <w:rPr>
        <w:rFonts w:ascii="Wingdings" w:hAnsi="Wingdings" w:hint="default"/>
      </w:rPr>
    </w:lvl>
  </w:abstractNum>
  <w:abstractNum w:abstractNumId="5" w15:restartNumberingAfterBreak="0">
    <w:nsid w:val="633E1CE0"/>
    <w:multiLevelType w:val="hybridMultilevel"/>
    <w:tmpl w:val="FC4ED6AA"/>
    <w:lvl w:ilvl="0" w:tplc="77B00EA4">
      <w:start w:val="1"/>
      <w:numFmt w:val="bullet"/>
      <w:lvlText w:val=""/>
      <w:lvlJc w:val="left"/>
      <w:pPr>
        <w:tabs>
          <w:tab w:val="num" w:pos="720"/>
        </w:tabs>
        <w:ind w:left="720" w:hanging="360"/>
      </w:pPr>
      <w:rPr>
        <w:rFonts w:ascii="Symbol" w:hAnsi="Symbol" w:hint="default"/>
      </w:rPr>
    </w:lvl>
    <w:lvl w:ilvl="1" w:tplc="1610D69E" w:tentative="1">
      <w:start w:val="1"/>
      <w:numFmt w:val="bullet"/>
      <w:lvlText w:val="o"/>
      <w:lvlJc w:val="left"/>
      <w:pPr>
        <w:ind w:left="1440" w:hanging="360"/>
      </w:pPr>
      <w:rPr>
        <w:rFonts w:ascii="Courier New" w:hAnsi="Courier New" w:cs="Courier New" w:hint="default"/>
      </w:rPr>
    </w:lvl>
    <w:lvl w:ilvl="2" w:tplc="1BC6D7AA" w:tentative="1">
      <w:start w:val="1"/>
      <w:numFmt w:val="bullet"/>
      <w:lvlText w:val=""/>
      <w:lvlJc w:val="left"/>
      <w:pPr>
        <w:ind w:left="2160" w:hanging="360"/>
      </w:pPr>
      <w:rPr>
        <w:rFonts w:ascii="Wingdings" w:hAnsi="Wingdings" w:hint="default"/>
      </w:rPr>
    </w:lvl>
    <w:lvl w:ilvl="3" w:tplc="13142B0C" w:tentative="1">
      <w:start w:val="1"/>
      <w:numFmt w:val="bullet"/>
      <w:lvlText w:val=""/>
      <w:lvlJc w:val="left"/>
      <w:pPr>
        <w:ind w:left="2880" w:hanging="360"/>
      </w:pPr>
      <w:rPr>
        <w:rFonts w:ascii="Symbol" w:hAnsi="Symbol" w:hint="default"/>
      </w:rPr>
    </w:lvl>
    <w:lvl w:ilvl="4" w:tplc="F288FF9C" w:tentative="1">
      <w:start w:val="1"/>
      <w:numFmt w:val="bullet"/>
      <w:lvlText w:val="o"/>
      <w:lvlJc w:val="left"/>
      <w:pPr>
        <w:ind w:left="3600" w:hanging="360"/>
      </w:pPr>
      <w:rPr>
        <w:rFonts w:ascii="Courier New" w:hAnsi="Courier New" w:cs="Courier New" w:hint="default"/>
      </w:rPr>
    </w:lvl>
    <w:lvl w:ilvl="5" w:tplc="BFD848A2" w:tentative="1">
      <w:start w:val="1"/>
      <w:numFmt w:val="bullet"/>
      <w:lvlText w:val=""/>
      <w:lvlJc w:val="left"/>
      <w:pPr>
        <w:ind w:left="4320" w:hanging="360"/>
      </w:pPr>
      <w:rPr>
        <w:rFonts w:ascii="Wingdings" w:hAnsi="Wingdings" w:hint="default"/>
      </w:rPr>
    </w:lvl>
    <w:lvl w:ilvl="6" w:tplc="039E11F8" w:tentative="1">
      <w:start w:val="1"/>
      <w:numFmt w:val="bullet"/>
      <w:lvlText w:val=""/>
      <w:lvlJc w:val="left"/>
      <w:pPr>
        <w:ind w:left="5040" w:hanging="360"/>
      </w:pPr>
      <w:rPr>
        <w:rFonts w:ascii="Symbol" w:hAnsi="Symbol" w:hint="default"/>
      </w:rPr>
    </w:lvl>
    <w:lvl w:ilvl="7" w:tplc="B94646FE" w:tentative="1">
      <w:start w:val="1"/>
      <w:numFmt w:val="bullet"/>
      <w:lvlText w:val="o"/>
      <w:lvlJc w:val="left"/>
      <w:pPr>
        <w:ind w:left="5760" w:hanging="360"/>
      </w:pPr>
      <w:rPr>
        <w:rFonts w:ascii="Courier New" w:hAnsi="Courier New" w:cs="Courier New" w:hint="default"/>
      </w:rPr>
    </w:lvl>
    <w:lvl w:ilvl="8" w:tplc="E5404C90" w:tentative="1">
      <w:start w:val="1"/>
      <w:numFmt w:val="bullet"/>
      <w:lvlText w:val=""/>
      <w:lvlJc w:val="left"/>
      <w:pPr>
        <w:ind w:left="6480" w:hanging="360"/>
      </w:pPr>
      <w:rPr>
        <w:rFonts w:ascii="Wingdings" w:hAnsi="Wingdings" w:hint="default"/>
      </w:rPr>
    </w:lvl>
  </w:abstractNum>
  <w:abstractNum w:abstractNumId="6" w15:restartNumberingAfterBreak="0">
    <w:nsid w:val="69A35C2A"/>
    <w:multiLevelType w:val="hybridMultilevel"/>
    <w:tmpl w:val="0F0EFF12"/>
    <w:lvl w:ilvl="0" w:tplc="5C4C297E">
      <w:start w:val="1"/>
      <w:numFmt w:val="bullet"/>
      <w:lvlText w:val=""/>
      <w:lvlJc w:val="left"/>
      <w:pPr>
        <w:tabs>
          <w:tab w:val="num" w:pos="720"/>
        </w:tabs>
        <w:ind w:left="720" w:hanging="360"/>
      </w:pPr>
      <w:rPr>
        <w:rFonts w:ascii="Symbol" w:hAnsi="Symbol" w:hint="default"/>
      </w:rPr>
    </w:lvl>
    <w:lvl w:ilvl="1" w:tplc="1D7096E2" w:tentative="1">
      <w:start w:val="1"/>
      <w:numFmt w:val="bullet"/>
      <w:lvlText w:val="o"/>
      <w:lvlJc w:val="left"/>
      <w:pPr>
        <w:ind w:left="1440" w:hanging="360"/>
      </w:pPr>
      <w:rPr>
        <w:rFonts w:ascii="Courier New" w:hAnsi="Courier New" w:cs="Courier New" w:hint="default"/>
      </w:rPr>
    </w:lvl>
    <w:lvl w:ilvl="2" w:tplc="D178A078" w:tentative="1">
      <w:start w:val="1"/>
      <w:numFmt w:val="bullet"/>
      <w:lvlText w:val=""/>
      <w:lvlJc w:val="left"/>
      <w:pPr>
        <w:ind w:left="2160" w:hanging="360"/>
      </w:pPr>
      <w:rPr>
        <w:rFonts w:ascii="Wingdings" w:hAnsi="Wingdings" w:hint="default"/>
      </w:rPr>
    </w:lvl>
    <w:lvl w:ilvl="3" w:tplc="91A0537A" w:tentative="1">
      <w:start w:val="1"/>
      <w:numFmt w:val="bullet"/>
      <w:lvlText w:val=""/>
      <w:lvlJc w:val="left"/>
      <w:pPr>
        <w:ind w:left="2880" w:hanging="360"/>
      </w:pPr>
      <w:rPr>
        <w:rFonts w:ascii="Symbol" w:hAnsi="Symbol" w:hint="default"/>
      </w:rPr>
    </w:lvl>
    <w:lvl w:ilvl="4" w:tplc="FC56216E" w:tentative="1">
      <w:start w:val="1"/>
      <w:numFmt w:val="bullet"/>
      <w:lvlText w:val="o"/>
      <w:lvlJc w:val="left"/>
      <w:pPr>
        <w:ind w:left="3600" w:hanging="360"/>
      </w:pPr>
      <w:rPr>
        <w:rFonts w:ascii="Courier New" w:hAnsi="Courier New" w:cs="Courier New" w:hint="default"/>
      </w:rPr>
    </w:lvl>
    <w:lvl w:ilvl="5" w:tplc="F2124578" w:tentative="1">
      <w:start w:val="1"/>
      <w:numFmt w:val="bullet"/>
      <w:lvlText w:val=""/>
      <w:lvlJc w:val="left"/>
      <w:pPr>
        <w:ind w:left="4320" w:hanging="360"/>
      </w:pPr>
      <w:rPr>
        <w:rFonts w:ascii="Wingdings" w:hAnsi="Wingdings" w:hint="default"/>
      </w:rPr>
    </w:lvl>
    <w:lvl w:ilvl="6" w:tplc="75EEA71E" w:tentative="1">
      <w:start w:val="1"/>
      <w:numFmt w:val="bullet"/>
      <w:lvlText w:val=""/>
      <w:lvlJc w:val="left"/>
      <w:pPr>
        <w:ind w:left="5040" w:hanging="360"/>
      </w:pPr>
      <w:rPr>
        <w:rFonts w:ascii="Symbol" w:hAnsi="Symbol" w:hint="default"/>
      </w:rPr>
    </w:lvl>
    <w:lvl w:ilvl="7" w:tplc="AA7A8F24" w:tentative="1">
      <w:start w:val="1"/>
      <w:numFmt w:val="bullet"/>
      <w:lvlText w:val="o"/>
      <w:lvlJc w:val="left"/>
      <w:pPr>
        <w:ind w:left="5760" w:hanging="360"/>
      </w:pPr>
      <w:rPr>
        <w:rFonts w:ascii="Courier New" w:hAnsi="Courier New" w:cs="Courier New" w:hint="default"/>
      </w:rPr>
    </w:lvl>
    <w:lvl w:ilvl="8" w:tplc="C23C2F64" w:tentative="1">
      <w:start w:val="1"/>
      <w:numFmt w:val="bullet"/>
      <w:lvlText w:val=""/>
      <w:lvlJc w:val="left"/>
      <w:pPr>
        <w:ind w:left="6480" w:hanging="360"/>
      </w:pPr>
      <w:rPr>
        <w:rFonts w:ascii="Wingdings" w:hAnsi="Wingdings" w:hint="default"/>
      </w:rPr>
    </w:lvl>
  </w:abstractNum>
  <w:abstractNum w:abstractNumId="7" w15:restartNumberingAfterBreak="0">
    <w:nsid w:val="7EB41402"/>
    <w:multiLevelType w:val="hybridMultilevel"/>
    <w:tmpl w:val="932EBD8E"/>
    <w:lvl w:ilvl="0" w:tplc="72DE4350">
      <w:start w:val="1"/>
      <w:numFmt w:val="bullet"/>
      <w:lvlText w:val=""/>
      <w:lvlJc w:val="left"/>
      <w:pPr>
        <w:tabs>
          <w:tab w:val="num" w:pos="720"/>
        </w:tabs>
        <w:ind w:left="720" w:hanging="360"/>
      </w:pPr>
      <w:rPr>
        <w:rFonts w:ascii="Symbol" w:hAnsi="Symbol" w:hint="default"/>
      </w:rPr>
    </w:lvl>
    <w:lvl w:ilvl="1" w:tplc="DF0662E8" w:tentative="1">
      <w:start w:val="1"/>
      <w:numFmt w:val="bullet"/>
      <w:lvlText w:val="o"/>
      <w:lvlJc w:val="left"/>
      <w:pPr>
        <w:ind w:left="1440" w:hanging="360"/>
      </w:pPr>
      <w:rPr>
        <w:rFonts w:ascii="Courier New" w:hAnsi="Courier New" w:cs="Courier New" w:hint="default"/>
      </w:rPr>
    </w:lvl>
    <w:lvl w:ilvl="2" w:tplc="E7449772" w:tentative="1">
      <w:start w:val="1"/>
      <w:numFmt w:val="bullet"/>
      <w:lvlText w:val=""/>
      <w:lvlJc w:val="left"/>
      <w:pPr>
        <w:ind w:left="2160" w:hanging="360"/>
      </w:pPr>
      <w:rPr>
        <w:rFonts w:ascii="Wingdings" w:hAnsi="Wingdings" w:hint="default"/>
      </w:rPr>
    </w:lvl>
    <w:lvl w:ilvl="3" w:tplc="96AA630C" w:tentative="1">
      <w:start w:val="1"/>
      <w:numFmt w:val="bullet"/>
      <w:lvlText w:val=""/>
      <w:lvlJc w:val="left"/>
      <w:pPr>
        <w:ind w:left="2880" w:hanging="360"/>
      </w:pPr>
      <w:rPr>
        <w:rFonts w:ascii="Symbol" w:hAnsi="Symbol" w:hint="default"/>
      </w:rPr>
    </w:lvl>
    <w:lvl w:ilvl="4" w:tplc="3346563E" w:tentative="1">
      <w:start w:val="1"/>
      <w:numFmt w:val="bullet"/>
      <w:lvlText w:val="o"/>
      <w:lvlJc w:val="left"/>
      <w:pPr>
        <w:ind w:left="3600" w:hanging="360"/>
      </w:pPr>
      <w:rPr>
        <w:rFonts w:ascii="Courier New" w:hAnsi="Courier New" w:cs="Courier New" w:hint="default"/>
      </w:rPr>
    </w:lvl>
    <w:lvl w:ilvl="5" w:tplc="DB526DC6" w:tentative="1">
      <w:start w:val="1"/>
      <w:numFmt w:val="bullet"/>
      <w:lvlText w:val=""/>
      <w:lvlJc w:val="left"/>
      <w:pPr>
        <w:ind w:left="4320" w:hanging="360"/>
      </w:pPr>
      <w:rPr>
        <w:rFonts w:ascii="Wingdings" w:hAnsi="Wingdings" w:hint="default"/>
      </w:rPr>
    </w:lvl>
    <w:lvl w:ilvl="6" w:tplc="E63E640C" w:tentative="1">
      <w:start w:val="1"/>
      <w:numFmt w:val="bullet"/>
      <w:lvlText w:val=""/>
      <w:lvlJc w:val="left"/>
      <w:pPr>
        <w:ind w:left="5040" w:hanging="360"/>
      </w:pPr>
      <w:rPr>
        <w:rFonts w:ascii="Symbol" w:hAnsi="Symbol" w:hint="default"/>
      </w:rPr>
    </w:lvl>
    <w:lvl w:ilvl="7" w:tplc="983EF04E" w:tentative="1">
      <w:start w:val="1"/>
      <w:numFmt w:val="bullet"/>
      <w:lvlText w:val="o"/>
      <w:lvlJc w:val="left"/>
      <w:pPr>
        <w:ind w:left="5760" w:hanging="360"/>
      </w:pPr>
      <w:rPr>
        <w:rFonts w:ascii="Courier New" w:hAnsi="Courier New" w:cs="Courier New" w:hint="default"/>
      </w:rPr>
    </w:lvl>
    <w:lvl w:ilvl="8" w:tplc="61987DB6"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DB"/>
    <w:rsid w:val="00000A70"/>
    <w:rsid w:val="000032B8"/>
    <w:rsid w:val="00003B06"/>
    <w:rsid w:val="000054B9"/>
    <w:rsid w:val="00007461"/>
    <w:rsid w:val="0001117E"/>
    <w:rsid w:val="0001125F"/>
    <w:rsid w:val="0001338E"/>
    <w:rsid w:val="00013D24"/>
    <w:rsid w:val="00014AF0"/>
    <w:rsid w:val="000155D6"/>
    <w:rsid w:val="000157AB"/>
    <w:rsid w:val="00015D4E"/>
    <w:rsid w:val="000176AB"/>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2E82"/>
    <w:rsid w:val="000939E2"/>
    <w:rsid w:val="000959BB"/>
    <w:rsid w:val="00097AAF"/>
    <w:rsid w:val="00097D13"/>
    <w:rsid w:val="000A1412"/>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376"/>
    <w:rsid w:val="000E7C14"/>
    <w:rsid w:val="000F094C"/>
    <w:rsid w:val="000F18A2"/>
    <w:rsid w:val="000F2A7F"/>
    <w:rsid w:val="000F3DBD"/>
    <w:rsid w:val="000F4968"/>
    <w:rsid w:val="000F4B64"/>
    <w:rsid w:val="000F5843"/>
    <w:rsid w:val="000F6A06"/>
    <w:rsid w:val="0010154D"/>
    <w:rsid w:val="00102D3F"/>
    <w:rsid w:val="00102EC7"/>
    <w:rsid w:val="0010347D"/>
    <w:rsid w:val="00110F8C"/>
    <w:rsid w:val="0011249A"/>
    <w:rsid w:val="0011274A"/>
    <w:rsid w:val="00113522"/>
    <w:rsid w:val="0011378D"/>
    <w:rsid w:val="00114889"/>
    <w:rsid w:val="00115EE9"/>
    <w:rsid w:val="001169F9"/>
    <w:rsid w:val="00120797"/>
    <w:rsid w:val="00120B4B"/>
    <w:rsid w:val="0012371B"/>
    <w:rsid w:val="001245C8"/>
    <w:rsid w:val="00124653"/>
    <w:rsid w:val="001247C5"/>
    <w:rsid w:val="00127893"/>
    <w:rsid w:val="001312BB"/>
    <w:rsid w:val="00137D90"/>
    <w:rsid w:val="00141FB6"/>
    <w:rsid w:val="00142F8E"/>
    <w:rsid w:val="00143C8B"/>
    <w:rsid w:val="00147530"/>
    <w:rsid w:val="0015331F"/>
    <w:rsid w:val="0015407B"/>
    <w:rsid w:val="00156AB2"/>
    <w:rsid w:val="00160402"/>
    <w:rsid w:val="00160571"/>
    <w:rsid w:val="00161E93"/>
    <w:rsid w:val="00162C7A"/>
    <w:rsid w:val="00162DAE"/>
    <w:rsid w:val="001639C5"/>
    <w:rsid w:val="00163E45"/>
    <w:rsid w:val="001664C2"/>
    <w:rsid w:val="00171BF2"/>
    <w:rsid w:val="001722ED"/>
    <w:rsid w:val="0017347B"/>
    <w:rsid w:val="0017725B"/>
    <w:rsid w:val="0018050C"/>
    <w:rsid w:val="0018117F"/>
    <w:rsid w:val="001824ED"/>
    <w:rsid w:val="00183262"/>
    <w:rsid w:val="00184B03"/>
    <w:rsid w:val="00185C59"/>
    <w:rsid w:val="00186754"/>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A75"/>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8F2"/>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35C20"/>
    <w:rsid w:val="0024077A"/>
    <w:rsid w:val="00241EC1"/>
    <w:rsid w:val="002431DA"/>
    <w:rsid w:val="002431ED"/>
    <w:rsid w:val="0024691D"/>
    <w:rsid w:val="00247D27"/>
    <w:rsid w:val="00250A50"/>
    <w:rsid w:val="00251ED5"/>
    <w:rsid w:val="00255EB6"/>
    <w:rsid w:val="00257429"/>
    <w:rsid w:val="002609B0"/>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1ECF"/>
    <w:rsid w:val="00313DFE"/>
    <w:rsid w:val="003143B2"/>
    <w:rsid w:val="00314821"/>
    <w:rsid w:val="0031483F"/>
    <w:rsid w:val="0031741B"/>
    <w:rsid w:val="00321337"/>
    <w:rsid w:val="00321F2F"/>
    <w:rsid w:val="003237F6"/>
    <w:rsid w:val="00324077"/>
    <w:rsid w:val="0032453B"/>
    <w:rsid w:val="00324868"/>
    <w:rsid w:val="003305F5"/>
    <w:rsid w:val="00333930"/>
    <w:rsid w:val="00333EB1"/>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4EEF"/>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17C"/>
    <w:rsid w:val="003D726D"/>
    <w:rsid w:val="003E0437"/>
    <w:rsid w:val="003E0875"/>
    <w:rsid w:val="003E0BB8"/>
    <w:rsid w:val="003E6351"/>
    <w:rsid w:val="003E6CB0"/>
    <w:rsid w:val="003F1C89"/>
    <w:rsid w:val="003F1F5E"/>
    <w:rsid w:val="003F286A"/>
    <w:rsid w:val="003F65B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7DB"/>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A7A9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D8D"/>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6C14"/>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5E3B"/>
    <w:rsid w:val="005878B7"/>
    <w:rsid w:val="00592C9A"/>
    <w:rsid w:val="00593CB9"/>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3E3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05B"/>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4B9"/>
    <w:rsid w:val="00645750"/>
    <w:rsid w:val="00650692"/>
    <w:rsid w:val="006508D3"/>
    <w:rsid w:val="00650AFA"/>
    <w:rsid w:val="00662B77"/>
    <w:rsid w:val="00662D0E"/>
    <w:rsid w:val="00663265"/>
    <w:rsid w:val="0066345F"/>
    <w:rsid w:val="0066453B"/>
    <w:rsid w:val="0066485B"/>
    <w:rsid w:val="0067036E"/>
    <w:rsid w:val="00671693"/>
    <w:rsid w:val="006757AA"/>
    <w:rsid w:val="00677319"/>
    <w:rsid w:val="006803E7"/>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CF9"/>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03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59F"/>
    <w:rsid w:val="0075287B"/>
    <w:rsid w:val="00755C7B"/>
    <w:rsid w:val="0075699D"/>
    <w:rsid w:val="00760B29"/>
    <w:rsid w:val="00764786"/>
    <w:rsid w:val="00766E12"/>
    <w:rsid w:val="0077098E"/>
    <w:rsid w:val="00771287"/>
    <w:rsid w:val="0077149E"/>
    <w:rsid w:val="00777518"/>
    <w:rsid w:val="0077779E"/>
    <w:rsid w:val="00780FB6"/>
    <w:rsid w:val="0078552A"/>
    <w:rsid w:val="00785729"/>
    <w:rsid w:val="00786058"/>
    <w:rsid w:val="00791643"/>
    <w:rsid w:val="0079487D"/>
    <w:rsid w:val="007966D4"/>
    <w:rsid w:val="00796A0A"/>
    <w:rsid w:val="0079792C"/>
    <w:rsid w:val="007A0989"/>
    <w:rsid w:val="007A331F"/>
    <w:rsid w:val="007A3844"/>
    <w:rsid w:val="007A4381"/>
    <w:rsid w:val="007A5466"/>
    <w:rsid w:val="007A7EC1"/>
    <w:rsid w:val="007B4FCA"/>
    <w:rsid w:val="007B7B85"/>
    <w:rsid w:val="007C01DB"/>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1D38"/>
    <w:rsid w:val="00812B80"/>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1EF1"/>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3DEC"/>
    <w:rsid w:val="0093417F"/>
    <w:rsid w:val="00934AC2"/>
    <w:rsid w:val="009375BB"/>
    <w:rsid w:val="009418E9"/>
    <w:rsid w:val="00946044"/>
    <w:rsid w:val="009465AB"/>
    <w:rsid w:val="00946DEE"/>
    <w:rsid w:val="00953499"/>
    <w:rsid w:val="00954A16"/>
    <w:rsid w:val="0095696D"/>
    <w:rsid w:val="00957266"/>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207"/>
    <w:rsid w:val="009B26AB"/>
    <w:rsid w:val="009B3476"/>
    <w:rsid w:val="009B39BC"/>
    <w:rsid w:val="009B5069"/>
    <w:rsid w:val="009B69AD"/>
    <w:rsid w:val="009B7806"/>
    <w:rsid w:val="009C05C1"/>
    <w:rsid w:val="009C0644"/>
    <w:rsid w:val="009C090D"/>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33A"/>
    <w:rsid w:val="009F4EB0"/>
    <w:rsid w:val="009F4F2B"/>
    <w:rsid w:val="009F513E"/>
    <w:rsid w:val="009F5802"/>
    <w:rsid w:val="009F64AE"/>
    <w:rsid w:val="00A0042D"/>
    <w:rsid w:val="00A0053A"/>
    <w:rsid w:val="00A00C33"/>
    <w:rsid w:val="00A01103"/>
    <w:rsid w:val="00A012C0"/>
    <w:rsid w:val="00A014BB"/>
    <w:rsid w:val="00A01A15"/>
    <w:rsid w:val="00A01E10"/>
    <w:rsid w:val="00A02D81"/>
    <w:rsid w:val="00A03F54"/>
    <w:rsid w:val="00A0432D"/>
    <w:rsid w:val="00A07689"/>
    <w:rsid w:val="00A07906"/>
    <w:rsid w:val="00A10908"/>
    <w:rsid w:val="00A11421"/>
    <w:rsid w:val="00A12330"/>
    <w:rsid w:val="00A1259F"/>
    <w:rsid w:val="00A1446F"/>
    <w:rsid w:val="00A145EE"/>
    <w:rsid w:val="00A14703"/>
    <w:rsid w:val="00A151B5"/>
    <w:rsid w:val="00A220FF"/>
    <w:rsid w:val="00A227E0"/>
    <w:rsid w:val="00A232E4"/>
    <w:rsid w:val="00A24AAD"/>
    <w:rsid w:val="00A26A8A"/>
    <w:rsid w:val="00A27255"/>
    <w:rsid w:val="00A32304"/>
    <w:rsid w:val="00A3420E"/>
    <w:rsid w:val="00A35D66"/>
    <w:rsid w:val="00A41085"/>
    <w:rsid w:val="00A425FA"/>
    <w:rsid w:val="00A43960"/>
    <w:rsid w:val="00A45A18"/>
    <w:rsid w:val="00A46902"/>
    <w:rsid w:val="00A50CDB"/>
    <w:rsid w:val="00A51F3E"/>
    <w:rsid w:val="00A5364B"/>
    <w:rsid w:val="00A54142"/>
    <w:rsid w:val="00A54C42"/>
    <w:rsid w:val="00A572B1"/>
    <w:rsid w:val="00A577AF"/>
    <w:rsid w:val="00A60177"/>
    <w:rsid w:val="00A60CD1"/>
    <w:rsid w:val="00A61C27"/>
    <w:rsid w:val="00A6344D"/>
    <w:rsid w:val="00A644B8"/>
    <w:rsid w:val="00A70E35"/>
    <w:rsid w:val="00A720DC"/>
    <w:rsid w:val="00A803CF"/>
    <w:rsid w:val="00A8133F"/>
    <w:rsid w:val="00A82CB4"/>
    <w:rsid w:val="00A837A8"/>
    <w:rsid w:val="00A83C36"/>
    <w:rsid w:val="00A91FA2"/>
    <w:rsid w:val="00A932BB"/>
    <w:rsid w:val="00A93579"/>
    <w:rsid w:val="00A93934"/>
    <w:rsid w:val="00A95D51"/>
    <w:rsid w:val="00AA18AE"/>
    <w:rsid w:val="00AA228B"/>
    <w:rsid w:val="00AA597A"/>
    <w:rsid w:val="00AA71DF"/>
    <w:rsid w:val="00AA7E52"/>
    <w:rsid w:val="00AB1655"/>
    <w:rsid w:val="00AB1873"/>
    <w:rsid w:val="00AB2C05"/>
    <w:rsid w:val="00AB3536"/>
    <w:rsid w:val="00AB474B"/>
    <w:rsid w:val="00AB5CCC"/>
    <w:rsid w:val="00AB74E2"/>
    <w:rsid w:val="00AC2E9A"/>
    <w:rsid w:val="00AC39E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5C7F"/>
    <w:rsid w:val="00B80532"/>
    <w:rsid w:val="00B82039"/>
    <w:rsid w:val="00B82454"/>
    <w:rsid w:val="00B90097"/>
    <w:rsid w:val="00B90999"/>
    <w:rsid w:val="00B91AD7"/>
    <w:rsid w:val="00B92D23"/>
    <w:rsid w:val="00B95BC8"/>
    <w:rsid w:val="00B967B8"/>
    <w:rsid w:val="00B96E87"/>
    <w:rsid w:val="00BA146A"/>
    <w:rsid w:val="00BA32EE"/>
    <w:rsid w:val="00BA3C09"/>
    <w:rsid w:val="00BA4415"/>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C33"/>
    <w:rsid w:val="00BF4D7C"/>
    <w:rsid w:val="00BF5085"/>
    <w:rsid w:val="00BF704B"/>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791"/>
    <w:rsid w:val="00C9047F"/>
    <w:rsid w:val="00C9183D"/>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46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22F"/>
    <w:rsid w:val="00CF4827"/>
    <w:rsid w:val="00CF4C69"/>
    <w:rsid w:val="00CF581C"/>
    <w:rsid w:val="00CF71E0"/>
    <w:rsid w:val="00D001B1"/>
    <w:rsid w:val="00D03176"/>
    <w:rsid w:val="00D060A8"/>
    <w:rsid w:val="00D06605"/>
    <w:rsid w:val="00D0720F"/>
    <w:rsid w:val="00D074E2"/>
    <w:rsid w:val="00D11B0B"/>
    <w:rsid w:val="00D12A3E"/>
    <w:rsid w:val="00D14795"/>
    <w:rsid w:val="00D22160"/>
    <w:rsid w:val="00D22172"/>
    <w:rsid w:val="00D2301B"/>
    <w:rsid w:val="00D239EE"/>
    <w:rsid w:val="00D23A39"/>
    <w:rsid w:val="00D30534"/>
    <w:rsid w:val="00D34002"/>
    <w:rsid w:val="00D35728"/>
    <w:rsid w:val="00D37BCF"/>
    <w:rsid w:val="00D40F93"/>
    <w:rsid w:val="00D42277"/>
    <w:rsid w:val="00D42EA5"/>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890"/>
    <w:rsid w:val="00D730FA"/>
    <w:rsid w:val="00D76631"/>
    <w:rsid w:val="00D768B7"/>
    <w:rsid w:val="00D77492"/>
    <w:rsid w:val="00D811E8"/>
    <w:rsid w:val="00D81A44"/>
    <w:rsid w:val="00D83072"/>
    <w:rsid w:val="00D83ABC"/>
    <w:rsid w:val="00D84870"/>
    <w:rsid w:val="00D91B92"/>
    <w:rsid w:val="00D91E77"/>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C56"/>
    <w:rsid w:val="00E1228E"/>
    <w:rsid w:val="00E13374"/>
    <w:rsid w:val="00E14079"/>
    <w:rsid w:val="00E14C35"/>
    <w:rsid w:val="00E15F90"/>
    <w:rsid w:val="00E16D3E"/>
    <w:rsid w:val="00E17167"/>
    <w:rsid w:val="00E20520"/>
    <w:rsid w:val="00E21D55"/>
    <w:rsid w:val="00E21FDC"/>
    <w:rsid w:val="00E22130"/>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93A"/>
    <w:rsid w:val="00E45547"/>
    <w:rsid w:val="00E467EF"/>
    <w:rsid w:val="00E500F1"/>
    <w:rsid w:val="00E51446"/>
    <w:rsid w:val="00E529C8"/>
    <w:rsid w:val="00E55DA0"/>
    <w:rsid w:val="00E56033"/>
    <w:rsid w:val="00E57CF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BE9"/>
    <w:rsid w:val="00E9241E"/>
    <w:rsid w:val="00E93DEF"/>
    <w:rsid w:val="00E947B1"/>
    <w:rsid w:val="00E96852"/>
    <w:rsid w:val="00EA16AC"/>
    <w:rsid w:val="00EA385A"/>
    <w:rsid w:val="00EA3931"/>
    <w:rsid w:val="00EA4CFA"/>
    <w:rsid w:val="00EA658E"/>
    <w:rsid w:val="00EA7A88"/>
    <w:rsid w:val="00EB1FD2"/>
    <w:rsid w:val="00EB27F2"/>
    <w:rsid w:val="00EB3928"/>
    <w:rsid w:val="00EB5373"/>
    <w:rsid w:val="00EB6587"/>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2DA"/>
    <w:rsid w:val="00F02457"/>
    <w:rsid w:val="00F036C3"/>
    <w:rsid w:val="00F0417E"/>
    <w:rsid w:val="00F05397"/>
    <w:rsid w:val="00F0638C"/>
    <w:rsid w:val="00F1160E"/>
    <w:rsid w:val="00F11E04"/>
    <w:rsid w:val="00F12B24"/>
    <w:rsid w:val="00F12BC7"/>
    <w:rsid w:val="00F15223"/>
    <w:rsid w:val="00F1645F"/>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2FA0"/>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7F8"/>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887E4B-1B55-44D3-AA54-B98D23AD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46C14"/>
    <w:rPr>
      <w:sz w:val="16"/>
      <w:szCs w:val="16"/>
    </w:rPr>
  </w:style>
  <w:style w:type="paragraph" w:styleId="CommentText">
    <w:name w:val="annotation text"/>
    <w:basedOn w:val="Normal"/>
    <w:link w:val="CommentTextChar"/>
    <w:semiHidden/>
    <w:unhideWhenUsed/>
    <w:rsid w:val="00546C14"/>
    <w:rPr>
      <w:sz w:val="20"/>
      <w:szCs w:val="20"/>
    </w:rPr>
  </w:style>
  <w:style w:type="character" w:customStyle="1" w:styleId="CommentTextChar">
    <w:name w:val="Comment Text Char"/>
    <w:basedOn w:val="DefaultParagraphFont"/>
    <w:link w:val="CommentText"/>
    <w:semiHidden/>
    <w:rsid w:val="00546C14"/>
  </w:style>
  <w:style w:type="paragraph" w:styleId="CommentSubject">
    <w:name w:val="annotation subject"/>
    <w:basedOn w:val="CommentText"/>
    <w:next w:val="CommentText"/>
    <w:link w:val="CommentSubjectChar"/>
    <w:semiHidden/>
    <w:unhideWhenUsed/>
    <w:rsid w:val="00546C14"/>
    <w:rPr>
      <w:b/>
      <w:bCs/>
    </w:rPr>
  </w:style>
  <w:style w:type="character" w:customStyle="1" w:styleId="CommentSubjectChar">
    <w:name w:val="Comment Subject Char"/>
    <w:basedOn w:val="CommentTextChar"/>
    <w:link w:val="CommentSubject"/>
    <w:semiHidden/>
    <w:rsid w:val="00546C14"/>
    <w:rPr>
      <w:b/>
      <w:bCs/>
    </w:rPr>
  </w:style>
  <w:style w:type="character" w:styleId="Hyperlink">
    <w:name w:val="Hyperlink"/>
    <w:basedOn w:val="DefaultParagraphFont"/>
    <w:unhideWhenUsed/>
    <w:rsid w:val="00A14703"/>
    <w:rPr>
      <w:color w:val="0000FF" w:themeColor="hyperlink"/>
      <w:u w:val="single"/>
    </w:rPr>
  </w:style>
  <w:style w:type="character" w:styleId="FollowedHyperlink">
    <w:name w:val="FollowedHyperlink"/>
    <w:basedOn w:val="DefaultParagraphFont"/>
    <w:semiHidden/>
    <w:unhideWhenUsed/>
    <w:rsid w:val="00A14703"/>
    <w:rPr>
      <w:color w:val="800080" w:themeColor="followedHyperlink"/>
      <w:u w:val="single"/>
    </w:rPr>
  </w:style>
  <w:style w:type="paragraph" w:styleId="ListParagraph">
    <w:name w:val="List Paragraph"/>
    <w:basedOn w:val="Normal"/>
    <w:uiPriority w:val="34"/>
    <w:qFormat/>
    <w:rsid w:val="00901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6939</Characters>
  <Application>Microsoft Office Word</Application>
  <DocSecurity>4</DocSecurity>
  <Lines>143</Lines>
  <Paragraphs>48</Paragraphs>
  <ScaleCrop>false</ScaleCrop>
  <HeadingPairs>
    <vt:vector size="2" baseType="variant">
      <vt:variant>
        <vt:lpstr>Title</vt:lpstr>
      </vt:variant>
      <vt:variant>
        <vt:i4>1</vt:i4>
      </vt:variant>
    </vt:vector>
  </HeadingPairs>
  <TitlesOfParts>
    <vt:vector size="1" baseType="lpstr">
      <vt:lpstr>BA - HB00014 (Committee Report (Substituted))</vt:lpstr>
    </vt:vector>
  </TitlesOfParts>
  <Company>State of Texas</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18781</dc:subject>
  <dc:creator>State of Texas</dc:creator>
  <dc:description>HB 14 by Goldman-(H)Energy Resources (Substitute Document Number: 87R 17917)</dc:description>
  <cp:lastModifiedBy>Stacey Nicchio</cp:lastModifiedBy>
  <cp:revision>2</cp:revision>
  <cp:lastPrinted>2003-11-26T17:21:00Z</cp:lastPrinted>
  <dcterms:created xsi:type="dcterms:W3CDTF">2021-04-15T00:50:00Z</dcterms:created>
  <dcterms:modified xsi:type="dcterms:W3CDTF">2021-04-15T00:50:00Z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21.103.2015</vt:lpwstr>
  </property>
</Properties>
</file>