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F7FE1" w14:paraId="166B14FD" w14:textId="77777777" w:rsidTr="00345119">
        <w:tc>
          <w:tcPr>
            <w:tcW w:w="9576" w:type="dxa"/>
            <w:noWrap/>
          </w:tcPr>
          <w:p w14:paraId="24095E15" w14:textId="77777777" w:rsidR="008423E4" w:rsidRPr="0022177D" w:rsidRDefault="00C332AA" w:rsidP="005532F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510DAB8" w14:textId="77777777" w:rsidR="008423E4" w:rsidRPr="0022177D" w:rsidRDefault="008423E4" w:rsidP="005532F3">
      <w:pPr>
        <w:jc w:val="center"/>
      </w:pPr>
    </w:p>
    <w:p w14:paraId="12A39026" w14:textId="77777777" w:rsidR="008423E4" w:rsidRPr="00B31F0E" w:rsidRDefault="008423E4" w:rsidP="005532F3"/>
    <w:p w14:paraId="27DDCA56" w14:textId="77777777" w:rsidR="008423E4" w:rsidRPr="00742794" w:rsidRDefault="008423E4" w:rsidP="005532F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F7FE1" w14:paraId="05C045AF" w14:textId="77777777" w:rsidTr="00345119">
        <w:tc>
          <w:tcPr>
            <w:tcW w:w="9576" w:type="dxa"/>
          </w:tcPr>
          <w:p w14:paraId="02A8187E" w14:textId="49082A0A" w:rsidR="008423E4" w:rsidRPr="00861995" w:rsidRDefault="00C332AA" w:rsidP="005532F3">
            <w:pPr>
              <w:jc w:val="right"/>
            </w:pPr>
            <w:r>
              <w:t>C.S.H.B. 67</w:t>
            </w:r>
          </w:p>
        </w:tc>
      </w:tr>
      <w:tr w:rsidR="00BF7FE1" w14:paraId="33D1C429" w14:textId="77777777" w:rsidTr="00345119">
        <w:tc>
          <w:tcPr>
            <w:tcW w:w="9576" w:type="dxa"/>
          </w:tcPr>
          <w:p w14:paraId="3C3E0EFD" w14:textId="52C096BC" w:rsidR="008423E4" w:rsidRPr="00861995" w:rsidRDefault="00C332AA" w:rsidP="005532F3">
            <w:pPr>
              <w:jc w:val="right"/>
            </w:pPr>
            <w:r>
              <w:t xml:space="preserve">By: </w:t>
            </w:r>
            <w:r w:rsidR="009645A9">
              <w:t>Toth</w:t>
            </w:r>
          </w:p>
        </w:tc>
      </w:tr>
      <w:tr w:rsidR="00BF7FE1" w14:paraId="0C9A42EE" w14:textId="77777777" w:rsidTr="00345119">
        <w:tc>
          <w:tcPr>
            <w:tcW w:w="9576" w:type="dxa"/>
          </w:tcPr>
          <w:p w14:paraId="115F35A9" w14:textId="46EA7222" w:rsidR="008423E4" w:rsidRPr="00861995" w:rsidRDefault="00C332AA" w:rsidP="005532F3">
            <w:pPr>
              <w:jc w:val="right"/>
            </w:pPr>
            <w:r>
              <w:t>Business &amp; Industry</w:t>
            </w:r>
          </w:p>
        </w:tc>
      </w:tr>
      <w:tr w:rsidR="00BF7FE1" w14:paraId="2E40512E" w14:textId="77777777" w:rsidTr="00345119">
        <w:tc>
          <w:tcPr>
            <w:tcW w:w="9576" w:type="dxa"/>
          </w:tcPr>
          <w:p w14:paraId="15065039" w14:textId="2B415A1E" w:rsidR="008423E4" w:rsidRDefault="00C332AA" w:rsidP="005532F3">
            <w:pPr>
              <w:jc w:val="right"/>
            </w:pPr>
            <w:r>
              <w:t>Committee Report (Substituted)</w:t>
            </w:r>
          </w:p>
        </w:tc>
      </w:tr>
    </w:tbl>
    <w:p w14:paraId="74772D92" w14:textId="77777777" w:rsidR="008423E4" w:rsidRDefault="008423E4" w:rsidP="005532F3">
      <w:pPr>
        <w:tabs>
          <w:tab w:val="right" w:pos="9360"/>
        </w:tabs>
      </w:pPr>
    </w:p>
    <w:p w14:paraId="1B1C2E68" w14:textId="77777777" w:rsidR="008423E4" w:rsidRDefault="008423E4" w:rsidP="005532F3"/>
    <w:p w14:paraId="232D02B5" w14:textId="77777777" w:rsidR="008423E4" w:rsidRDefault="008423E4" w:rsidP="005532F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F7FE1" w14:paraId="3CB4C2CE" w14:textId="77777777" w:rsidTr="00345119">
        <w:tc>
          <w:tcPr>
            <w:tcW w:w="9576" w:type="dxa"/>
          </w:tcPr>
          <w:p w14:paraId="10CD92B4" w14:textId="77777777" w:rsidR="008423E4" w:rsidRPr="00A8133F" w:rsidRDefault="00C332AA" w:rsidP="005532F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981B8AA" w14:textId="77777777" w:rsidR="008423E4" w:rsidRDefault="008423E4" w:rsidP="005532F3"/>
          <w:p w14:paraId="40963137" w14:textId="75A04C3D" w:rsidR="008423E4" w:rsidRDefault="00C332AA" w:rsidP="005532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accidental drowning of three</w:t>
            </w:r>
            <w:r w:rsidR="00617900">
              <w:t>-</w:t>
            </w:r>
            <w:r w:rsidR="00F43885" w:rsidRPr="00F43885">
              <w:t>year</w:t>
            </w:r>
            <w:r w:rsidR="00617900">
              <w:t>-</w:t>
            </w:r>
            <w:r w:rsidR="00F43885" w:rsidRPr="00F43885">
              <w:t>old Judah Brown in</w:t>
            </w:r>
            <w:r>
              <w:t xml:space="preserve"> Houston in</w:t>
            </w:r>
            <w:r w:rsidR="00F43885" w:rsidRPr="00F43885">
              <w:t xml:space="preserve"> 2016</w:t>
            </w:r>
            <w:r>
              <w:t xml:space="preserve"> </w:t>
            </w:r>
            <w:r w:rsidR="00F43885" w:rsidRPr="00F43885">
              <w:t xml:space="preserve">led to </w:t>
            </w:r>
            <w:r>
              <w:t>an increased</w:t>
            </w:r>
            <w:r w:rsidRPr="00F43885">
              <w:t xml:space="preserve"> </w:t>
            </w:r>
            <w:r>
              <w:t xml:space="preserve">focus on </w:t>
            </w:r>
            <w:r w:rsidR="00F43885" w:rsidRPr="00F43885">
              <w:t>pool safety measures</w:t>
            </w:r>
            <w:r>
              <w:t>.</w:t>
            </w:r>
            <w:r w:rsidR="00F43885" w:rsidRPr="00F43885">
              <w:t xml:space="preserve"> </w:t>
            </w:r>
            <w:r>
              <w:t xml:space="preserve">Of </w:t>
            </w:r>
            <w:r>
              <w:t>particular c</w:t>
            </w:r>
            <w:r w:rsidR="00F43885" w:rsidRPr="00F43885">
              <w:t>oncern</w:t>
            </w:r>
            <w:r>
              <w:t xml:space="preserve"> to many ha</w:t>
            </w:r>
            <w:r w:rsidR="00F652D7">
              <w:t>ve</w:t>
            </w:r>
            <w:r w:rsidR="00F43885" w:rsidRPr="00F43885">
              <w:t xml:space="preserve"> been </w:t>
            </w:r>
            <w:r>
              <w:t>reports of</w:t>
            </w:r>
            <w:r w:rsidR="00F43885" w:rsidRPr="00F43885">
              <w:t xml:space="preserve"> property owners' associations adopt</w:t>
            </w:r>
            <w:r>
              <w:t>ing</w:t>
            </w:r>
            <w:r w:rsidR="00F43885" w:rsidRPr="00F43885">
              <w:t xml:space="preserve"> or enforc</w:t>
            </w:r>
            <w:r>
              <w:t>ing</w:t>
            </w:r>
            <w:r w:rsidR="00CF6445">
              <w:t xml:space="preserve"> prohibitions or</w:t>
            </w:r>
            <w:r w:rsidR="00F43885" w:rsidRPr="00F43885">
              <w:t xml:space="preserve"> restrictions on the installation of swimming pool enclosures.</w:t>
            </w:r>
            <w:r w:rsidR="00F43885">
              <w:t xml:space="preserve"> </w:t>
            </w:r>
            <w:r>
              <w:t>C.S.</w:t>
            </w:r>
            <w:r w:rsidR="00F43885" w:rsidRPr="00F43885">
              <w:t xml:space="preserve">H.B. 67 seeks to </w:t>
            </w:r>
            <w:r>
              <w:t xml:space="preserve">ensure that </w:t>
            </w:r>
            <w:r w:rsidRPr="00F43885">
              <w:t xml:space="preserve">homeowners who want to erect </w:t>
            </w:r>
            <w:r w:rsidR="00CF6445">
              <w:t>a fence around their swimming pool</w:t>
            </w:r>
            <w:r w:rsidRPr="00F43885">
              <w:t xml:space="preserve"> to protect their children</w:t>
            </w:r>
            <w:r>
              <w:t xml:space="preserve"> are able to do so </w:t>
            </w:r>
            <w:r w:rsidR="00F43885" w:rsidRPr="00F43885">
              <w:t xml:space="preserve">by prohibiting a property owners' association from adopting or enforcing </w:t>
            </w:r>
            <w:r w:rsidR="00904D0D">
              <w:t>a provision in a dedicatory instrument</w:t>
            </w:r>
            <w:r w:rsidR="00F43885" w:rsidRPr="00F43885">
              <w:t xml:space="preserve"> that prohibits or restricts </w:t>
            </w:r>
            <w:r w:rsidR="00904D0D">
              <w:t>the</w:t>
            </w:r>
            <w:r w:rsidR="00F43885" w:rsidRPr="00F43885">
              <w:t xml:space="preserve"> install</w:t>
            </w:r>
            <w:r w:rsidR="00904D0D">
              <w:t>ation</w:t>
            </w:r>
            <w:r w:rsidR="00F43885" w:rsidRPr="00F43885">
              <w:t xml:space="preserve"> </w:t>
            </w:r>
            <w:r w:rsidR="00904D0D">
              <w:t xml:space="preserve">of </w:t>
            </w:r>
            <w:r w:rsidR="00372D55">
              <w:t>certain compliant swimming pool</w:t>
            </w:r>
            <w:r w:rsidR="00372D55" w:rsidRPr="00F43885">
              <w:t xml:space="preserve"> </w:t>
            </w:r>
            <w:r w:rsidR="00F43885" w:rsidRPr="00F43885">
              <w:t>enclosure</w:t>
            </w:r>
            <w:r w:rsidR="00372D55">
              <w:t>s</w:t>
            </w:r>
            <w:r w:rsidR="00F43885" w:rsidRPr="00F43885">
              <w:t>.</w:t>
            </w:r>
          </w:p>
          <w:p w14:paraId="5CEAF48E" w14:textId="77777777" w:rsidR="008423E4" w:rsidRPr="00E26B13" w:rsidRDefault="008423E4" w:rsidP="005532F3">
            <w:pPr>
              <w:rPr>
                <w:b/>
              </w:rPr>
            </w:pPr>
          </w:p>
        </w:tc>
      </w:tr>
      <w:tr w:rsidR="00BF7FE1" w14:paraId="255A74F9" w14:textId="77777777" w:rsidTr="00345119">
        <w:tc>
          <w:tcPr>
            <w:tcW w:w="9576" w:type="dxa"/>
          </w:tcPr>
          <w:p w14:paraId="7DA21CCB" w14:textId="77777777" w:rsidR="0017725B" w:rsidRDefault="00C332AA" w:rsidP="005532F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F378E48" w14:textId="77777777" w:rsidR="0017725B" w:rsidRDefault="0017725B" w:rsidP="005532F3">
            <w:pPr>
              <w:rPr>
                <w:b/>
                <w:u w:val="single"/>
              </w:rPr>
            </w:pPr>
          </w:p>
          <w:p w14:paraId="215A47C9" w14:textId="77777777" w:rsidR="00C941A5" w:rsidRPr="00C941A5" w:rsidRDefault="00C332AA" w:rsidP="005532F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</w:t>
            </w:r>
            <w:r>
              <w:t>mmunity supervision, parole, or mandatory supervision.</w:t>
            </w:r>
          </w:p>
          <w:p w14:paraId="1F80A584" w14:textId="77777777" w:rsidR="0017725B" w:rsidRPr="0017725B" w:rsidRDefault="0017725B" w:rsidP="005532F3">
            <w:pPr>
              <w:rPr>
                <w:b/>
                <w:u w:val="single"/>
              </w:rPr>
            </w:pPr>
          </w:p>
        </w:tc>
      </w:tr>
      <w:tr w:rsidR="00BF7FE1" w14:paraId="3800EA2D" w14:textId="77777777" w:rsidTr="00345119">
        <w:tc>
          <w:tcPr>
            <w:tcW w:w="9576" w:type="dxa"/>
          </w:tcPr>
          <w:p w14:paraId="1A463AE4" w14:textId="77777777" w:rsidR="008423E4" w:rsidRPr="00A8133F" w:rsidRDefault="00C332AA" w:rsidP="005532F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34E0CC8" w14:textId="77777777" w:rsidR="008423E4" w:rsidRDefault="008423E4" w:rsidP="005532F3"/>
          <w:p w14:paraId="344D00DD" w14:textId="77777777" w:rsidR="00C941A5" w:rsidRDefault="00C332AA" w:rsidP="005532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0926FE92" w14:textId="77777777" w:rsidR="008423E4" w:rsidRPr="00E21FDC" w:rsidRDefault="008423E4" w:rsidP="005532F3">
            <w:pPr>
              <w:rPr>
                <w:b/>
              </w:rPr>
            </w:pPr>
          </w:p>
        </w:tc>
      </w:tr>
      <w:tr w:rsidR="00BF7FE1" w14:paraId="7BD3D0A7" w14:textId="77777777" w:rsidTr="00345119">
        <w:tc>
          <w:tcPr>
            <w:tcW w:w="9576" w:type="dxa"/>
          </w:tcPr>
          <w:p w14:paraId="16249099" w14:textId="77777777" w:rsidR="008423E4" w:rsidRPr="00A8133F" w:rsidRDefault="00C332AA" w:rsidP="005532F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3CC05AB" w14:textId="77777777" w:rsidR="008423E4" w:rsidRDefault="008423E4" w:rsidP="005532F3"/>
          <w:p w14:paraId="15021A8F" w14:textId="03DCF462" w:rsidR="008423E4" w:rsidRDefault="00C332AA" w:rsidP="005532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C941A5">
              <w:t xml:space="preserve">H.B. 67 amends the </w:t>
            </w:r>
            <w:r w:rsidR="00C941A5" w:rsidRPr="00C941A5">
              <w:t>Property Code</w:t>
            </w:r>
            <w:r w:rsidR="00C941A5">
              <w:t xml:space="preserve"> to prohibit a </w:t>
            </w:r>
            <w:r w:rsidR="00C941A5" w:rsidRPr="00C941A5">
              <w:t>property owners' association</w:t>
            </w:r>
            <w:r w:rsidR="00C941A5">
              <w:t xml:space="preserve"> from adopting or enforcing </w:t>
            </w:r>
            <w:r w:rsidR="00C941A5" w:rsidRPr="00C941A5">
              <w:t>a provision in a dedicatory instrument that prohibits or restricts a property owner from installing on the owner's property a swimming pool enclosure</w:t>
            </w:r>
            <w:r>
              <w:t xml:space="preserve">, as defined by the bill, </w:t>
            </w:r>
            <w:r w:rsidR="00C941A5" w:rsidRPr="00C941A5">
              <w:t>that conforms to applicable state or local safety requirements.</w:t>
            </w:r>
            <w:r w:rsidR="00C941A5">
              <w:t xml:space="preserve"> </w:t>
            </w:r>
            <w:r w:rsidR="00372D55">
              <w:t>The bill authorizes an</w:t>
            </w:r>
            <w:r>
              <w:t xml:space="preserve"> association</w:t>
            </w:r>
            <w:r w:rsidR="00372D55">
              <w:t xml:space="preserve"> to</w:t>
            </w:r>
            <w:r>
              <w:t xml:space="preserve"> </w:t>
            </w:r>
            <w:r w:rsidR="00710F33">
              <w:t xml:space="preserve">adopt </w:t>
            </w:r>
            <w:r w:rsidR="00CC1E1D">
              <w:t>and</w:t>
            </w:r>
            <w:r w:rsidR="00710F33">
              <w:t xml:space="preserve"> enforce </w:t>
            </w:r>
            <w:r w:rsidR="00710F33" w:rsidRPr="00710F33">
              <w:t>a provision in a dedicatory instrument establishing limitations related to the appearance of a swimming pool enclosure</w:t>
            </w:r>
            <w:r w:rsidR="00C44124">
              <w:t xml:space="preserve">, including limitations establishing permissible colors for the enclosure, unless the provision prohibits an enclosure that </w:t>
            </w:r>
            <w:r w:rsidR="00C44124" w:rsidRPr="00C44124">
              <w:t>is black in color and consists of transparent mesh set in metal frames.</w:t>
            </w:r>
            <w:r w:rsidR="00C44124">
              <w:t xml:space="preserve"> </w:t>
            </w:r>
          </w:p>
          <w:p w14:paraId="0CC1A496" w14:textId="77777777" w:rsidR="008423E4" w:rsidRPr="00835628" w:rsidRDefault="008423E4" w:rsidP="005532F3">
            <w:pPr>
              <w:rPr>
                <w:b/>
              </w:rPr>
            </w:pPr>
          </w:p>
        </w:tc>
      </w:tr>
      <w:tr w:rsidR="00BF7FE1" w14:paraId="464C81AB" w14:textId="77777777" w:rsidTr="00345119">
        <w:tc>
          <w:tcPr>
            <w:tcW w:w="9576" w:type="dxa"/>
          </w:tcPr>
          <w:p w14:paraId="07F87F6C" w14:textId="77777777" w:rsidR="008423E4" w:rsidRPr="00A8133F" w:rsidRDefault="00C332AA" w:rsidP="005532F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33D0350" w14:textId="77777777" w:rsidR="008423E4" w:rsidRDefault="008423E4" w:rsidP="005532F3"/>
          <w:p w14:paraId="36B4ECEE" w14:textId="77777777" w:rsidR="008423E4" w:rsidRPr="003624F2" w:rsidRDefault="00C332AA" w:rsidP="005532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5F22A45" w14:textId="77777777" w:rsidR="008423E4" w:rsidRPr="00233FDB" w:rsidRDefault="008423E4" w:rsidP="005532F3">
            <w:pPr>
              <w:rPr>
                <w:b/>
              </w:rPr>
            </w:pPr>
          </w:p>
        </w:tc>
      </w:tr>
      <w:tr w:rsidR="00BF7FE1" w14:paraId="55EF861D" w14:textId="77777777" w:rsidTr="00345119">
        <w:tc>
          <w:tcPr>
            <w:tcW w:w="9576" w:type="dxa"/>
          </w:tcPr>
          <w:p w14:paraId="1DC7BADD" w14:textId="77777777" w:rsidR="009645A9" w:rsidRDefault="00C332AA" w:rsidP="005532F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</w:t>
            </w:r>
            <w:r>
              <w:rPr>
                <w:b/>
                <w:u w:val="single"/>
              </w:rPr>
              <w:t>OF ORIGINAL AND SUBSTITUTE</w:t>
            </w:r>
          </w:p>
          <w:p w14:paraId="0C10C48D" w14:textId="77777777" w:rsidR="00C44124" w:rsidRDefault="00C44124" w:rsidP="005532F3">
            <w:pPr>
              <w:jc w:val="both"/>
            </w:pPr>
          </w:p>
          <w:p w14:paraId="14CFA9C9" w14:textId="019A50A7" w:rsidR="00C44124" w:rsidRDefault="00C332AA" w:rsidP="005532F3">
            <w:pPr>
              <w:jc w:val="both"/>
            </w:pPr>
            <w:r>
              <w:t>While C.S.H.B. 67 may differ from the original in minor or nonsubstantive ways, the following summarizes the substantial differences between the introduced and committee substitute versions of the bill.</w:t>
            </w:r>
          </w:p>
          <w:p w14:paraId="1814B684" w14:textId="294B34CE" w:rsidR="00C44124" w:rsidRDefault="00C44124" w:rsidP="005532F3">
            <w:pPr>
              <w:jc w:val="both"/>
            </w:pPr>
          </w:p>
          <w:p w14:paraId="6F6D8A2B" w14:textId="77777777" w:rsidR="0056180C" w:rsidRDefault="00C332AA" w:rsidP="005532F3">
            <w:pPr>
              <w:jc w:val="both"/>
            </w:pPr>
            <w:r>
              <w:t xml:space="preserve">The substitute includes </w:t>
            </w:r>
            <w:r>
              <w:t>the following:</w:t>
            </w:r>
          </w:p>
          <w:p w14:paraId="45357CE8" w14:textId="7AF00AA1" w:rsidR="00C44124" w:rsidRDefault="00C332AA" w:rsidP="005532F3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>a definition of "swimming pool enclosure"</w:t>
            </w:r>
            <w:r w:rsidR="00AA221B">
              <w:t>;</w:t>
            </w:r>
            <w:r w:rsidR="0056180C">
              <w:t xml:space="preserve"> and</w:t>
            </w:r>
            <w:r>
              <w:t xml:space="preserve"> </w:t>
            </w:r>
          </w:p>
          <w:p w14:paraId="0E650EA5" w14:textId="586A7461" w:rsidR="00C44124" w:rsidRPr="00C44124" w:rsidRDefault="00C332AA" w:rsidP="005532F3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>a provision</w:t>
            </w:r>
            <w:r w:rsidR="00CC1E1D">
              <w:t xml:space="preserve"> authoriz</w:t>
            </w:r>
            <w:r>
              <w:t>ing</w:t>
            </w:r>
            <w:r w:rsidR="00CC1E1D">
              <w:t xml:space="preserve"> a </w:t>
            </w:r>
            <w:r w:rsidR="00CC1E1D" w:rsidRPr="00CC1E1D">
              <w:t>property owners' association</w:t>
            </w:r>
            <w:r w:rsidR="00CC1E1D">
              <w:t xml:space="preserve"> </w:t>
            </w:r>
            <w:r>
              <w:t xml:space="preserve">to </w:t>
            </w:r>
            <w:r w:rsidR="00CC1E1D" w:rsidRPr="00CC1E1D">
              <w:t xml:space="preserve">adopt and enforce a provision in a dedicatory instrument establishing </w:t>
            </w:r>
            <w:r w:rsidR="00CC1E1D">
              <w:t xml:space="preserve">certain </w:t>
            </w:r>
            <w:r w:rsidR="00CC1E1D" w:rsidRPr="00CC1E1D">
              <w:t>limitations related to the appearan</w:t>
            </w:r>
            <w:r w:rsidR="00CC1E1D">
              <w:t xml:space="preserve">ce of a swimming pool enclosure. </w:t>
            </w:r>
          </w:p>
        </w:tc>
      </w:tr>
      <w:tr w:rsidR="00BF7FE1" w14:paraId="251EB575" w14:textId="77777777" w:rsidTr="00345119">
        <w:tc>
          <w:tcPr>
            <w:tcW w:w="9576" w:type="dxa"/>
          </w:tcPr>
          <w:p w14:paraId="0482B321" w14:textId="77777777" w:rsidR="009645A9" w:rsidRPr="009C1E9A" w:rsidRDefault="009645A9" w:rsidP="005532F3">
            <w:pPr>
              <w:rPr>
                <w:b/>
                <w:u w:val="single"/>
              </w:rPr>
            </w:pPr>
          </w:p>
        </w:tc>
      </w:tr>
      <w:tr w:rsidR="00BF7FE1" w14:paraId="158F035E" w14:textId="77777777" w:rsidTr="00345119">
        <w:tc>
          <w:tcPr>
            <w:tcW w:w="9576" w:type="dxa"/>
          </w:tcPr>
          <w:p w14:paraId="0BA6B589" w14:textId="77777777" w:rsidR="009645A9" w:rsidRPr="009645A9" w:rsidRDefault="009645A9" w:rsidP="005532F3">
            <w:pPr>
              <w:jc w:val="both"/>
            </w:pPr>
          </w:p>
        </w:tc>
      </w:tr>
    </w:tbl>
    <w:p w14:paraId="0017467B" w14:textId="77777777" w:rsidR="008423E4" w:rsidRPr="00BE0E75" w:rsidRDefault="008423E4" w:rsidP="005532F3">
      <w:pPr>
        <w:jc w:val="both"/>
        <w:rPr>
          <w:rFonts w:ascii="Arial" w:hAnsi="Arial"/>
          <w:sz w:val="16"/>
          <w:szCs w:val="16"/>
        </w:rPr>
      </w:pPr>
    </w:p>
    <w:p w14:paraId="17F7897E" w14:textId="77777777" w:rsidR="004108C3" w:rsidRPr="008423E4" w:rsidRDefault="004108C3" w:rsidP="005532F3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432DA" w14:textId="77777777" w:rsidR="00000000" w:rsidRDefault="00C332AA">
      <w:r>
        <w:separator/>
      </w:r>
    </w:p>
  </w:endnote>
  <w:endnote w:type="continuationSeparator" w:id="0">
    <w:p w14:paraId="1DA92AAB" w14:textId="77777777" w:rsidR="00000000" w:rsidRDefault="00C3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FD47E" w14:textId="77777777" w:rsidR="00CE6FE6" w:rsidRDefault="00CE6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F7FE1" w14:paraId="691DAA41" w14:textId="77777777" w:rsidTr="009C1E9A">
      <w:trPr>
        <w:cantSplit/>
      </w:trPr>
      <w:tc>
        <w:tcPr>
          <w:tcW w:w="0" w:type="pct"/>
        </w:tcPr>
        <w:p w14:paraId="75C94EE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6E4F38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85F1C0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3C3ACF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4CF207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7FE1" w14:paraId="59F1F276" w14:textId="77777777" w:rsidTr="009C1E9A">
      <w:trPr>
        <w:cantSplit/>
      </w:trPr>
      <w:tc>
        <w:tcPr>
          <w:tcW w:w="0" w:type="pct"/>
        </w:tcPr>
        <w:p w14:paraId="321979D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66350F2" w14:textId="5CC89166" w:rsidR="00EC379B" w:rsidRPr="009C1E9A" w:rsidRDefault="00C332A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17776</w:t>
          </w:r>
        </w:p>
      </w:tc>
      <w:tc>
        <w:tcPr>
          <w:tcW w:w="2453" w:type="pct"/>
        </w:tcPr>
        <w:p w14:paraId="7B251DB7" w14:textId="65D4BC05" w:rsidR="00EC379B" w:rsidRDefault="00C332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84E4D">
            <w:t>21.90.739</w:t>
          </w:r>
          <w:r>
            <w:fldChar w:fldCharType="end"/>
          </w:r>
        </w:p>
      </w:tc>
    </w:tr>
    <w:tr w:rsidR="00BF7FE1" w14:paraId="158DAF0B" w14:textId="77777777" w:rsidTr="009C1E9A">
      <w:trPr>
        <w:cantSplit/>
      </w:trPr>
      <w:tc>
        <w:tcPr>
          <w:tcW w:w="0" w:type="pct"/>
        </w:tcPr>
        <w:p w14:paraId="31EF71C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9EDDCFA" w14:textId="73647CD6" w:rsidR="00EC379B" w:rsidRPr="009C1E9A" w:rsidRDefault="00C332A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16948</w:t>
          </w:r>
        </w:p>
      </w:tc>
      <w:tc>
        <w:tcPr>
          <w:tcW w:w="2453" w:type="pct"/>
        </w:tcPr>
        <w:p w14:paraId="4543474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1131EB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7FE1" w14:paraId="29BE564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780EFB1" w14:textId="519174B8" w:rsidR="00EC379B" w:rsidRDefault="00C332A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532F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8784A1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5FFBA8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80555" w14:textId="77777777" w:rsidR="00CE6FE6" w:rsidRDefault="00CE6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A7016" w14:textId="77777777" w:rsidR="00000000" w:rsidRDefault="00C332AA">
      <w:r>
        <w:separator/>
      </w:r>
    </w:p>
  </w:footnote>
  <w:footnote w:type="continuationSeparator" w:id="0">
    <w:p w14:paraId="2E7B8B0C" w14:textId="77777777" w:rsidR="00000000" w:rsidRDefault="00C3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B89B1" w14:textId="77777777" w:rsidR="00CE6FE6" w:rsidRDefault="00CE6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BD121" w14:textId="77777777" w:rsidR="00CE6FE6" w:rsidRDefault="00CE6F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58F2A" w14:textId="77777777" w:rsidR="00CE6FE6" w:rsidRDefault="00CE6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931E6"/>
    <w:multiLevelType w:val="hybridMultilevel"/>
    <w:tmpl w:val="F6A2321A"/>
    <w:lvl w:ilvl="0" w:tplc="ADA2B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CEB0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B25E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6A9E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68A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C628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E4D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A0A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4624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F7589"/>
    <w:multiLevelType w:val="hybridMultilevel"/>
    <w:tmpl w:val="A5D6AD2A"/>
    <w:lvl w:ilvl="0" w:tplc="05AE3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4EFC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368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30F9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52ED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88D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E74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A5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76A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A5"/>
    <w:rsid w:val="00000A70"/>
    <w:rsid w:val="000032B8"/>
    <w:rsid w:val="00003B06"/>
    <w:rsid w:val="000054B9"/>
    <w:rsid w:val="00007461"/>
    <w:rsid w:val="00010643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4E4D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5648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2D55"/>
    <w:rsid w:val="003747DF"/>
    <w:rsid w:val="00377E3D"/>
    <w:rsid w:val="0038132A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C7871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C7DCB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32F3"/>
    <w:rsid w:val="00555034"/>
    <w:rsid w:val="005570D2"/>
    <w:rsid w:val="0056153F"/>
    <w:rsid w:val="0056180C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17900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0F33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0628"/>
    <w:rsid w:val="007B4FCA"/>
    <w:rsid w:val="007B7B85"/>
    <w:rsid w:val="007C462E"/>
    <w:rsid w:val="007C496B"/>
    <w:rsid w:val="007C6803"/>
    <w:rsid w:val="007D0FC2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5F5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8F76FB"/>
    <w:rsid w:val="00901670"/>
    <w:rsid w:val="00902212"/>
    <w:rsid w:val="00903E0A"/>
    <w:rsid w:val="00904721"/>
    <w:rsid w:val="00904D0D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47874"/>
    <w:rsid w:val="00953499"/>
    <w:rsid w:val="00954A16"/>
    <w:rsid w:val="0095696D"/>
    <w:rsid w:val="009645A9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744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1B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2685D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7FE1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2AA"/>
    <w:rsid w:val="00C333C6"/>
    <w:rsid w:val="00C35CC5"/>
    <w:rsid w:val="00C361C5"/>
    <w:rsid w:val="00C377D1"/>
    <w:rsid w:val="00C37BDA"/>
    <w:rsid w:val="00C37C84"/>
    <w:rsid w:val="00C42B41"/>
    <w:rsid w:val="00C44124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41A5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1E1D"/>
    <w:rsid w:val="00CC24B7"/>
    <w:rsid w:val="00CC7131"/>
    <w:rsid w:val="00CC7B9E"/>
    <w:rsid w:val="00CD06CA"/>
    <w:rsid w:val="00CD076A"/>
    <w:rsid w:val="00CD180C"/>
    <w:rsid w:val="00CD37DA"/>
    <w:rsid w:val="00CD460D"/>
    <w:rsid w:val="00CD4F2C"/>
    <w:rsid w:val="00CD731C"/>
    <w:rsid w:val="00CE08E8"/>
    <w:rsid w:val="00CE1992"/>
    <w:rsid w:val="00CE2133"/>
    <w:rsid w:val="00CE245D"/>
    <w:rsid w:val="00CE300F"/>
    <w:rsid w:val="00CE3582"/>
    <w:rsid w:val="00CE3795"/>
    <w:rsid w:val="00CE3E20"/>
    <w:rsid w:val="00CE6FE6"/>
    <w:rsid w:val="00CF4827"/>
    <w:rsid w:val="00CF4C69"/>
    <w:rsid w:val="00CF581C"/>
    <w:rsid w:val="00CF6445"/>
    <w:rsid w:val="00CF71E0"/>
    <w:rsid w:val="00D001B1"/>
    <w:rsid w:val="00D03176"/>
    <w:rsid w:val="00D060A8"/>
    <w:rsid w:val="00D06444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38CC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1D96"/>
    <w:rsid w:val="00E529C8"/>
    <w:rsid w:val="00E541D3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0838"/>
    <w:rsid w:val="00E8272C"/>
    <w:rsid w:val="00E827C7"/>
    <w:rsid w:val="00E835D1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3885"/>
    <w:rsid w:val="00F44349"/>
    <w:rsid w:val="00F4569E"/>
    <w:rsid w:val="00F45AFC"/>
    <w:rsid w:val="00F462F4"/>
    <w:rsid w:val="00F50130"/>
    <w:rsid w:val="00F52402"/>
    <w:rsid w:val="00F5605D"/>
    <w:rsid w:val="00F6514B"/>
    <w:rsid w:val="00F652D7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19C9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02E66F-7E41-4C11-A898-4A03CB2D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941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41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41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4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41A5"/>
    <w:rPr>
      <w:b/>
      <w:bCs/>
    </w:rPr>
  </w:style>
  <w:style w:type="paragraph" w:styleId="ListParagraph">
    <w:name w:val="List Paragraph"/>
    <w:basedOn w:val="Normal"/>
    <w:uiPriority w:val="34"/>
    <w:qFormat/>
    <w:rsid w:val="0056180C"/>
    <w:pPr>
      <w:ind w:left="720"/>
      <w:contextualSpacing/>
    </w:pPr>
  </w:style>
  <w:style w:type="character" w:styleId="Hyperlink">
    <w:name w:val="Hyperlink"/>
    <w:basedOn w:val="DefaultParagraphFont"/>
    <w:unhideWhenUsed/>
    <w:rsid w:val="00904D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652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2158</Characters>
  <Application>Microsoft Office Word</Application>
  <DocSecurity>4</DocSecurity>
  <Lines>61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HB00067 (Committee Report (Substituted))</vt:lpstr>
    </vt:vector>
  </TitlesOfParts>
  <Company>State of Texas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17776</dc:subject>
  <dc:creator>State of Texas</dc:creator>
  <dc:description>HB 67 by Toth-(H)Business &amp; Industry (Substitute Document Number: 87R 16948)</dc:description>
  <cp:lastModifiedBy>Stacey Nicchio</cp:lastModifiedBy>
  <cp:revision>2</cp:revision>
  <cp:lastPrinted>2003-11-26T17:21:00Z</cp:lastPrinted>
  <dcterms:created xsi:type="dcterms:W3CDTF">2021-04-07T16:38:00Z</dcterms:created>
  <dcterms:modified xsi:type="dcterms:W3CDTF">2021-04-07T16:38:00Z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21.90.739</vt:lpwstr>
  </property>
</Properties>
</file>