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7A08DE" w14:paraId="3FD8861C" w14:textId="77777777" w:rsidTr="00345119">
        <w:tc>
          <w:tcPr>
            <w:tcW w:w="9576" w:type="dxa"/>
            <w:noWrap/>
          </w:tcPr>
          <w:p w14:paraId="53D224BF" w14:textId="77777777" w:rsidR="008423E4" w:rsidRPr="0022177D" w:rsidRDefault="00D2236D" w:rsidP="00AD0210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709DA807" w14:textId="77777777" w:rsidR="008423E4" w:rsidRPr="0022177D" w:rsidRDefault="008423E4" w:rsidP="00AD0210">
      <w:pPr>
        <w:jc w:val="center"/>
      </w:pPr>
    </w:p>
    <w:p w14:paraId="6B43F5CC" w14:textId="77777777" w:rsidR="008423E4" w:rsidRPr="00B31F0E" w:rsidRDefault="008423E4" w:rsidP="00AD0210"/>
    <w:p w14:paraId="29398A9F" w14:textId="77777777" w:rsidR="008423E4" w:rsidRPr="00742794" w:rsidRDefault="008423E4" w:rsidP="00AD0210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A08DE" w14:paraId="36962B3E" w14:textId="77777777" w:rsidTr="00345119">
        <w:tc>
          <w:tcPr>
            <w:tcW w:w="9576" w:type="dxa"/>
          </w:tcPr>
          <w:p w14:paraId="1F87C4D0" w14:textId="24CE6286" w:rsidR="008423E4" w:rsidRPr="00861995" w:rsidRDefault="00D2236D" w:rsidP="00AD0210">
            <w:pPr>
              <w:jc w:val="right"/>
            </w:pPr>
            <w:r>
              <w:t>C.S.H.B. 100</w:t>
            </w:r>
          </w:p>
        </w:tc>
      </w:tr>
      <w:tr w:rsidR="007A08DE" w14:paraId="07057C6A" w14:textId="77777777" w:rsidTr="00345119">
        <w:tc>
          <w:tcPr>
            <w:tcW w:w="9576" w:type="dxa"/>
          </w:tcPr>
          <w:p w14:paraId="3A05AE88" w14:textId="7AFE650D" w:rsidR="008423E4" w:rsidRPr="00861995" w:rsidRDefault="00D2236D" w:rsidP="00AD0210">
            <w:pPr>
              <w:jc w:val="right"/>
            </w:pPr>
            <w:r>
              <w:t xml:space="preserve">By: </w:t>
            </w:r>
            <w:r w:rsidR="00763017">
              <w:t>Gervin-Hawkins</w:t>
            </w:r>
          </w:p>
        </w:tc>
      </w:tr>
      <w:tr w:rsidR="007A08DE" w14:paraId="45B29C0C" w14:textId="77777777" w:rsidTr="00345119">
        <w:tc>
          <w:tcPr>
            <w:tcW w:w="9576" w:type="dxa"/>
          </w:tcPr>
          <w:p w14:paraId="78829C49" w14:textId="137C57BA" w:rsidR="008423E4" w:rsidRPr="00861995" w:rsidRDefault="00D2236D" w:rsidP="00AD0210">
            <w:pPr>
              <w:jc w:val="right"/>
            </w:pPr>
            <w:r>
              <w:t>Urban Affairs</w:t>
            </w:r>
          </w:p>
        </w:tc>
      </w:tr>
      <w:tr w:rsidR="007A08DE" w14:paraId="175935DB" w14:textId="77777777" w:rsidTr="00345119">
        <w:tc>
          <w:tcPr>
            <w:tcW w:w="9576" w:type="dxa"/>
          </w:tcPr>
          <w:p w14:paraId="70195831" w14:textId="6524CD31" w:rsidR="008423E4" w:rsidRDefault="00D2236D" w:rsidP="00AD0210">
            <w:pPr>
              <w:jc w:val="right"/>
            </w:pPr>
            <w:r>
              <w:t>Committee Report (Substituted)</w:t>
            </w:r>
          </w:p>
        </w:tc>
      </w:tr>
    </w:tbl>
    <w:p w14:paraId="5473D552" w14:textId="77777777" w:rsidR="008423E4" w:rsidRDefault="008423E4" w:rsidP="00AD0210">
      <w:pPr>
        <w:tabs>
          <w:tab w:val="right" w:pos="9360"/>
        </w:tabs>
      </w:pPr>
    </w:p>
    <w:p w14:paraId="7ACB7E8E" w14:textId="77777777" w:rsidR="008423E4" w:rsidRDefault="008423E4" w:rsidP="00AD0210"/>
    <w:p w14:paraId="6BC310A2" w14:textId="77777777" w:rsidR="008423E4" w:rsidRDefault="008423E4" w:rsidP="00AD0210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7A08DE" w14:paraId="51772707" w14:textId="77777777" w:rsidTr="00345119">
        <w:tc>
          <w:tcPr>
            <w:tcW w:w="9576" w:type="dxa"/>
          </w:tcPr>
          <w:p w14:paraId="35620B37" w14:textId="77777777" w:rsidR="008423E4" w:rsidRPr="00A8133F" w:rsidRDefault="00D2236D" w:rsidP="00AD021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0D551A45" w14:textId="77777777" w:rsidR="008423E4" w:rsidRDefault="008423E4" w:rsidP="00AD0210"/>
          <w:p w14:paraId="14DD8204" w14:textId="7980816D" w:rsidR="008423E4" w:rsidRDefault="00D2236D" w:rsidP="00AD021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9A69A2">
              <w:t>Concern</w:t>
            </w:r>
            <w:r>
              <w:t>s</w:t>
            </w:r>
            <w:r w:rsidRPr="009A69A2">
              <w:t xml:space="preserve"> have been </w:t>
            </w:r>
            <w:r>
              <w:t>raised regarding the</w:t>
            </w:r>
            <w:r w:rsidRPr="009A69A2">
              <w:t xml:space="preserve"> number of attacks on domestic animals and livestock by dangerous and aggressive dogs in the extraterritorial jurisdiction </w:t>
            </w:r>
            <w:r>
              <w:t>of cities and counties across the state where animal control authorities do not operate</w:t>
            </w:r>
            <w:r w:rsidRPr="009A69A2">
              <w:t>.</w:t>
            </w:r>
            <w:r>
              <w:t xml:space="preserve"> C.S.</w:t>
            </w:r>
            <w:r w:rsidRPr="009A69A2">
              <w:t xml:space="preserve">H.B. 100 seeks to </w:t>
            </w:r>
            <w:r>
              <w:t>address</w:t>
            </w:r>
            <w:r w:rsidRPr="009A69A2">
              <w:t xml:space="preserve"> th</w:t>
            </w:r>
            <w:r>
              <w:t>ese</w:t>
            </w:r>
            <w:r w:rsidRPr="009A69A2">
              <w:t xml:space="preserve"> </w:t>
            </w:r>
            <w:r>
              <w:t>concerns</w:t>
            </w:r>
            <w:r>
              <w:t xml:space="preserve"> </w:t>
            </w:r>
            <w:r w:rsidRPr="009A69A2">
              <w:t xml:space="preserve">by allowing a municipal animal control authority to </w:t>
            </w:r>
            <w:r>
              <w:t xml:space="preserve">impound and manage </w:t>
            </w:r>
            <w:r w:rsidR="00D4697B">
              <w:t>dangerous</w:t>
            </w:r>
            <w:r>
              <w:t xml:space="preserve"> and aggressive dogs</w:t>
            </w:r>
            <w:r w:rsidRPr="009A69A2">
              <w:t xml:space="preserve"> in the</w:t>
            </w:r>
            <w:r>
              <w:t xml:space="preserve"> municipality's</w:t>
            </w:r>
            <w:r w:rsidRPr="009A69A2">
              <w:t xml:space="preserve"> extraterritorial jurisdiction </w:t>
            </w:r>
            <w:r w:rsidR="00D4697B">
              <w:t>under certain circumstances</w:t>
            </w:r>
            <w:r w:rsidRPr="009A69A2">
              <w:t>.</w:t>
            </w:r>
          </w:p>
          <w:p w14:paraId="10D188BB" w14:textId="77777777" w:rsidR="008423E4" w:rsidRPr="00E26B13" w:rsidRDefault="008423E4" w:rsidP="00AD0210">
            <w:pPr>
              <w:rPr>
                <w:b/>
              </w:rPr>
            </w:pPr>
          </w:p>
        </w:tc>
      </w:tr>
      <w:tr w:rsidR="007A08DE" w14:paraId="59829958" w14:textId="77777777" w:rsidTr="00345119">
        <w:tc>
          <w:tcPr>
            <w:tcW w:w="9576" w:type="dxa"/>
          </w:tcPr>
          <w:p w14:paraId="6321211D" w14:textId="77777777" w:rsidR="0017725B" w:rsidRDefault="00D2236D" w:rsidP="00AD021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0900531E" w14:textId="77777777" w:rsidR="0017725B" w:rsidRDefault="0017725B" w:rsidP="00AD0210">
            <w:pPr>
              <w:rPr>
                <w:b/>
                <w:u w:val="single"/>
              </w:rPr>
            </w:pPr>
          </w:p>
          <w:p w14:paraId="6C8169DB" w14:textId="77777777" w:rsidR="005E7AD3" w:rsidRPr="005E7AD3" w:rsidRDefault="00D2236D" w:rsidP="00AD0210">
            <w:pPr>
              <w:jc w:val="both"/>
            </w:pPr>
            <w:r>
              <w:t>It is the committee's opinion that this bill d</w:t>
            </w:r>
            <w:r>
              <w:t>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3BC6ED19" w14:textId="77777777" w:rsidR="0017725B" w:rsidRPr="0017725B" w:rsidRDefault="0017725B" w:rsidP="00AD0210">
            <w:pPr>
              <w:rPr>
                <w:b/>
                <w:u w:val="single"/>
              </w:rPr>
            </w:pPr>
          </w:p>
        </w:tc>
      </w:tr>
      <w:tr w:rsidR="007A08DE" w14:paraId="50D8BB79" w14:textId="77777777" w:rsidTr="00345119">
        <w:tc>
          <w:tcPr>
            <w:tcW w:w="9576" w:type="dxa"/>
          </w:tcPr>
          <w:p w14:paraId="0241A6D4" w14:textId="77777777" w:rsidR="008423E4" w:rsidRPr="00A8133F" w:rsidRDefault="00D2236D" w:rsidP="00AD021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2BA9CF09" w14:textId="77777777" w:rsidR="008423E4" w:rsidRDefault="008423E4" w:rsidP="00AD0210"/>
          <w:p w14:paraId="2C7852B5" w14:textId="77777777" w:rsidR="005E7AD3" w:rsidRDefault="00D2236D" w:rsidP="00AD021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</w:t>
            </w:r>
            <w:r>
              <w:t xml:space="preserve"> the committee's opinion that this bill does not expressly grant any additional rulemaking authority to a state officer, department, agency, or institution.</w:t>
            </w:r>
          </w:p>
          <w:p w14:paraId="1F09AA58" w14:textId="77777777" w:rsidR="008423E4" w:rsidRPr="00E21FDC" w:rsidRDefault="008423E4" w:rsidP="00AD0210">
            <w:pPr>
              <w:rPr>
                <w:b/>
              </w:rPr>
            </w:pPr>
          </w:p>
        </w:tc>
      </w:tr>
      <w:tr w:rsidR="007A08DE" w14:paraId="5F34E9AE" w14:textId="77777777" w:rsidTr="00345119">
        <w:tc>
          <w:tcPr>
            <w:tcW w:w="9576" w:type="dxa"/>
          </w:tcPr>
          <w:p w14:paraId="259CF211" w14:textId="77777777" w:rsidR="008423E4" w:rsidRPr="00A8133F" w:rsidRDefault="00D2236D" w:rsidP="00AD021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0FF393D" w14:textId="77777777" w:rsidR="008423E4" w:rsidRDefault="008423E4" w:rsidP="00AD0210"/>
          <w:p w14:paraId="2A43A271" w14:textId="65D0D868" w:rsidR="009C36CD" w:rsidRDefault="00D2236D" w:rsidP="00AD021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2A42BD">
              <w:t xml:space="preserve">H.B. 100 amends the </w:t>
            </w:r>
            <w:r w:rsidR="002A42BD" w:rsidRPr="002A42BD">
              <w:t>Health and Safety Code</w:t>
            </w:r>
            <w:r w:rsidR="002A42BD">
              <w:t xml:space="preserve"> to authorize a </w:t>
            </w:r>
            <w:r w:rsidR="002A42BD" w:rsidRPr="002A42BD">
              <w:t>municipal animal control authority</w:t>
            </w:r>
            <w:r w:rsidR="002A42BD">
              <w:t xml:space="preserve"> to </w:t>
            </w:r>
            <w:r w:rsidR="002A42BD" w:rsidRPr="002A42BD">
              <w:t>impound and manage dangerous dogs and aggressive dogs in the</w:t>
            </w:r>
            <w:r w:rsidR="00091F1C">
              <w:t xml:space="preserve"> municipality's</w:t>
            </w:r>
            <w:r w:rsidR="002A42BD" w:rsidRPr="002A42BD">
              <w:t xml:space="preserve"> extraterritorial jurisdiction </w:t>
            </w:r>
            <w:r w:rsidR="00091F1C">
              <w:t>(ETJ)</w:t>
            </w:r>
            <w:r w:rsidR="002A42BD">
              <w:t xml:space="preserve"> under the following circumstances:</w:t>
            </w:r>
          </w:p>
          <w:p w14:paraId="65776088" w14:textId="1BD3B0D1" w:rsidR="00482AEF" w:rsidRDefault="00D2236D" w:rsidP="00AD021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the </w:t>
            </w:r>
            <w:r w:rsidRPr="002A42BD">
              <w:t xml:space="preserve">authority receives a </w:t>
            </w:r>
            <w:r w:rsidR="00F41442">
              <w:t>notarized affidavit</w:t>
            </w:r>
            <w:r w:rsidR="00F41442" w:rsidRPr="002A42BD">
              <w:t xml:space="preserve"> </w:t>
            </w:r>
            <w:r w:rsidRPr="002A42BD">
              <w:t xml:space="preserve">signed by at least </w:t>
            </w:r>
            <w:r w:rsidR="00F41442">
              <w:t>two</w:t>
            </w:r>
            <w:r w:rsidR="00F41442" w:rsidRPr="002A42BD">
              <w:t xml:space="preserve"> </w:t>
            </w:r>
            <w:r w:rsidRPr="002A42BD">
              <w:t>res</w:t>
            </w:r>
            <w:r w:rsidRPr="002A42BD">
              <w:t xml:space="preserve">idents from different households in the </w:t>
            </w:r>
            <w:r w:rsidR="00091F1C">
              <w:t>ETJ</w:t>
            </w:r>
            <w:r w:rsidRPr="002A42BD">
              <w:t xml:space="preserve"> requesting assistance from the authority and alleging </w:t>
            </w:r>
            <w:r>
              <w:t>the following:</w:t>
            </w:r>
          </w:p>
          <w:p w14:paraId="35248BFB" w14:textId="5476CA14" w:rsidR="00D4697B" w:rsidRDefault="00D2236D" w:rsidP="00AD0210">
            <w:pPr>
              <w:pStyle w:val="Header"/>
              <w:numPr>
                <w:ilvl w:val="1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repeated attacks </w:t>
            </w:r>
            <w:r w:rsidR="008A192F">
              <w:t>on</w:t>
            </w:r>
            <w:r>
              <w:t xml:space="preserve"> </w:t>
            </w:r>
            <w:r w:rsidRPr="002A42BD">
              <w:t xml:space="preserve">humans, domestic animals, or livestock </w:t>
            </w:r>
            <w:r w:rsidR="008A192F">
              <w:t xml:space="preserve">within the </w:t>
            </w:r>
            <w:r w:rsidR="00996BED">
              <w:t xml:space="preserve">ETJ </w:t>
            </w:r>
            <w:r>
              <w:t>by dangerous or aggressive dogs</w:t>
            </w:r>
            <w:r w:rsidR="0092581E">
              <w:t>;</w:t>
            </w:r>
            <w:r>
              <w:t xml:space="preserve"> </w:t>
            </w:r>
            <w:r w:rsidR="00482AEF">
              <w:t xml:space="preserve">and </w:t>
            </w:r>
          </w:p>
          <w:p w14:paraId="7FBB9540" w14:textId="411DADEA" w:rsidR="002A42BD" w:rsidRDefault="00D2236D" w:rsidP="00AD0210">
            <w:pPr>
              <w:pStyle w:val="Header"/>
              <w:numPr>
                <w:ilvl w:val="1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the ETJ is an unsafe environmen</w:t>
            </w:r>
            <w:r>
              <w:t>t for humans, domestic animals, or livestock due to the presence of</w:t>
            </w:r>
            <w:r w:rsidR="00492414">
              <w:t xml:space="preserve"> dangerous or</w:t>
            </w:r>
            <w:r>
              <w:t xml:space="preserve"> aggressive dogs; and </w:t>
            </w:r>
          </w:p>
          <w:p w14:paraId="7B5CD0F1" w14:textId="4E538127" w:rsidR="00DD2888" w:rsidRDefault="00D2236D" w:rsidP="00AD021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either </w:t>
            </w:r>
            <w:r w:rsidRPr="002A42BD">
              <w:t>no animal control authority is authorized to operate</w:t>
            </w:r>
            <w:r>
              <w:t xml:space="preserve"> in the </w:t>
            </w:r>
            <w:r w:rsidR="00996BED">
              <w:t xml:space="preserve">ETJ </w:t>
            </w:r>
            <w:r>
              <w:t xml:space="preserve">or the </w:t>
            </w:r>
            <w:r w:rsidRPr="002A42BD">
              <w:t xml:space="preserve">animal control authority </w:t>
            </w:r>
            <w:r w:rsidR="00996BED" w:rsidRPr="002A42BD">
              <w:t xml:space="preserve">operating </w:t>
            </w:r>
            <w:r>
              <w:t xml:space="preserve">in the </w:t>
            </w:r>
            <w:r w:rsidR="00996BED">
              <w:t xml:space="preserve">ETJ </w:t>
            </w:r>
            <w:r w:rsidRPr="002A42BD">
              <w:t>does not provide for the impo</w:t>
            </w:r>
            <w:r w:rsidRPr="002A42BD">
              <w:t>undment or management of dangerous dogs or aggressive dogs</w:t>
            </w:r>
            <w:r>
              <w:t xml:space="preserve">. </w:t>
            </w:r>
          </w:p>
          <w:p w14:paraId="3D767DCA" w14:textId="51D4C4CF" w:rsidR="008A192F" w:rsidRPr="009C36CD" w:rsidRDefault="00D2236D" w:rsidP="00AD021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bill defines "aggressive dog" for such purposes, and "dangerous dog" has the meaning assigned by applicable state law. </w:t>
            </w:r>
          </w:p>
          <w:p w14:paraId="05C48527" w14:textId="77777777" w:rsidR="008423E4" w:rsidRPr="00835628" w:rsidRDefault="008423E4" w:rsidP="00AD0210">
            <w:pPr>
              <w:rPr>
                <w:b/>
              </w:rPr>
            </w:pPr>
          </w:p>
        </w:tc>
      </w:tr>
      <w:tr w:rsidR="007A08DE" w14:paraId="65FCDF7A" w14:textId="77777777" w:rsidTr="00345119">
        <w:tc>
          <w:tcPr>
            <w:tcW w:w="9576" w:type="dxa"/>
          </w:tcPr>
          <w:p w14:paraId="0BF5A11D" w14:textId="77777777" w:rsidR="008423E4" w:rsidRPr="00A8133F" w:rsidRDefault="00D2236D" w:rsidP="00AD021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69329466" w14:textId="77777777" w:rsidR="008423E4" w:rsidRDefault="008423E4" w:rsidP="00AD0210"/>
          <w:p w14:paraId="5473F61A" w14:textId="77777777" w:rsidR="008423E4" w:rsidRPr="003624F2" w:rsidRDefault="00D2236D" w:rsidP="00AD021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passage, or, if the bill does not receive the </w:t>
            </w:r>
            <w:r>
              <w:t>necessary vote, September 1, 2021.</w:t>
            </w:r>
          </w:p>
          <w:p w14:paraId="27D4DCAD" w14:textId="77777777" w:rsidR="008423E4" w:rsidRDefault="008423E4" w:rsidP="00AD0210">
            <w:pPr>
              <w:rPr>
                <w:b/>
              </w:rPr>
            </w:pPr>
          </w:p>
          <w:p w14:paraId="73014F17" w14:textId="77777777" w:rsidR="00AD0210" w:rsidRDefault="00AD0210" w:rsidP="00AD0210">
            <w:pPr>
              <w:rPr>
                <w:b/>
              </w:rPr>
            </w:pPr>
          </w:p>
          <w:p w14:paraId="5C005AC9" w14:textId="77777777" w:rsidR="00AD0210" w:rsidRDefault="00AD0210" w:rsidP="00AD0210">
            <w:pPr>
              <w:rPr>
                <w:b/>
              </w:rPr>
            </w:pPr>
          </w:p>
          <w:p w14:paraId="7FB5369B" w14:textId="78C94245" w:rsidR="00AD0210" w:rsidRPr="00233FDB" w:rsidRDefault="00AD0210" w:rsidP="00AD0210">
            <w:pPr>
              <w:rPr>
                <w:b/>
              </w:rPr>
            </w:pPr>
          </w:p>
        </w:tc>
      </w:tr>
      <w:tr w:rsidR="007A08DE" w14:paraId="327B2B44" w14:textId="77777777" w:rsidTr="00345119">
        <w:tc>
          <w:tcPr>
            <w:tcW w:w="9576" w:type="dxa"/>
          </w:tcPr>
          <w:p w14:paraId="4F035CBE" w14:textId="77777777" w:rsidR="00763017" w:rsidRDefault="00D2236D" w:rsidP="00AD0210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775BEF06" w14:textId="77777777" w:rsidR="00CD67C0" w:rsidRDefault="00CD67C0" w:rsidP="00AD0210">
            <w:pPr>
              <w:jc w:val="both"/>
            </w:pPr>
          </w:p>
          <w:p w14:paraId="6801A9EE" w14:textId="72491694" w:rsidR="00CD67C0" w:rsidRDefault="00D2236D" w:rsidP="00AD0210">
            <w:pPr>
              <w:jc w:val="both"/>
            </w:pPr>
            <w:r>
              <w:t xml:space="preserve">While C.S.H.B. 100 may differ from the original in minor or nonsubstantive ways, the following summarizes the substantial differences between the introduced and committee </w:t>
            </w:r>
            <w:r>
              <w:t>substitute versions of the bill.</w:t>
            </w:r>
          </w:p>
          <w:p w14:paraId="78F41F3A" w14:textId="4ED84090" w:rsidR="00CD67C0" w:rsidRDefault="00CD67C0" w:rsidP="00AD0210">
            <w:pPr>
              <w:jc w:val="both"/>
            </w:pPr>
          </w:p>
          <w:p w14:paraId="6A239064" w14:textId="32D98397" w:rsidR="00B24A76" w:rsidRDefault="00D2236D" w:rsidP="00AD0210">
            <w:pPr>
              <w:jc w:val="both"/>
            </w:pPr>
            <w:r>
              <w:t xml:space="preserve">The substitute decreases the minimum number of residents from different households in the ETJ who must sign the petition from three to two. </w:t>
            </w:r>
          </w:p>
          <w:p w14:paraId="0BB05BF8" w14:textId="77777777" w:rsidR="00B24A76" w:rsidRDefault="00B24A76" w:rsidP="00AD0210">
            <w:pPr>
              <w:jc w:val="both"/>
            </w:pPr>
          </w:p>
          <w:p w14:paraId="64EB5079" w14:textId="3C292FAA" w:rsidR="00CD67C0" w:rsidRPr="00CD67C0" w:rsidRDefault="00D2236D" w:rsidP="00AD0210">
            <w:pPr>
              <w:jc w:val="both"/>
            </w:pPr>
            <w:r>
              <w:t xml:space="preserve">The substitute </w:t>
            </w:r>
            <w:r w:rsidR="00D4697B">
              <w:t xml:space="preserve">changes the document submitted to the authority from a petition to an affidavit and requires the affidavit </w:t>
            </w:r>
            <w:r>
              <w:t>to be notarized.</w:t>
            </w:r>
          </w:p>
        </w:tc>
      </w:tr>
      <w:tr w:rsidR="007A08DE" w14:paraId="350B81FD" w14:textId="77777777" w:rsidTr="00345119">
        <w:tc>
          <w:tcPr>
            <w:tcW w:w="9576" w:type="dxa"/>
          </w:tcPr>
          <w:p w14:paraId="752C06BD" w14:textId="77777777" w:rsidR="00763017" w:rsidRPr="009C1E9A" w:rsidRDefault="00763017" w:rsidP="00AD0210">
            <w:pPr>
              <w:rPr>
                <w:b/>
                <w:u w:val="single"/>
              </w:rPr>
            </w:pPr>
          </w:p>
        </w:tc>
      </w:tr>
      <w:tr w:rsidR="007A08DE" w14:paraId="5CA60683" w14:textId="77777777" w:rsidTr="00345119">
        <w:tc>
          <w:tcPr>
            <w:tcW w:w="9576" w:type="dxa"/>
          </w:tcPr>
          <w:p w14:paraId="7E92B13A" w14:textId="77777777" w:rsidR="00763017" w:rsidRPr="00763017" w:rsidRDefault="00763017" w:rsidP="00AD0210">
            <w:pPr>
              <w:jc w:val="both"/>
            </w:pPr>
          </w:p>
        </w:tc>
      </w:tr>
    </w:tbl>
    <w:p w14:paraId="31163F3C" w14:textId="77777777" w:rsidR="008423E4" w:rsidRPr="00BE0E75" w:rsidRDefault="008423E4" w:rsidP="00AD0210">
      <w:pPr>
        <w:jc w:val="both"/>
        <w:rPr>
          <w:rFonts w:ascii="Arial" w:hAnsi="Arial"/>
          <w:sz w:val="16"/>
          <w:szCs w:val="16"/>
        </w:rPr>
      </w:pPr>
    </w:p>
    <w:p w14:paraId="3D84BA90" w14:textId="77777777" w:rsidR="004108C3" w:rsidRPr="008423E4" w:rsidRDefault="004108C3" w:rsidP="00AD0210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7C8BB" w14:textId="77777777" w:rsidR="00000000" w:rsidRDefault="00D2236D">
      <w:r>
        <w:separator/>
      </w:r>
    </w:p>
  </w:endnote>
  <w:endnote w:type="continuationSeparator" w:id="0">
    <w:p w14:paraId="5EE1F8A0" w14:textId="77777777" w:rsidR="00000000" w:rsidRDefault="00D22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AB9D0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A08DE" w14:paraId="799979A1" w14:textId="77777777" w:rsidTr="009C1E9A">
      <w:trPr>
        <w:cantSplit/>
      </w:trPr>
      <w:tc>
        <w:tcPr>
          <w:tcW w:w="0" w:type="pct"/>
        </w:tcPr>
        <w:p w14:paraId="5C53609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5AD993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FDA847A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D19257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8BE5A4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A08DE" w14:paraId="6FCA4E8E" w14:textId="77777777" w:rsidTr="009C1E9A">
      <w:trPr>
        <w:cantSplit/>
      </w:trPr>
      <w:tc>
        <w:tcPr>
          <w:tcW w:w="0" w:type="pct"/>
        </w:tcPr>
        <w:p w14:paraId="0FDC05A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6D1D4BA" w14:textId="58BC47E5" w:rsidR="00EC379B" w:rsidRPr="009C1E9A" w:rsidRDefault="00D2236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18331</w:t>
          </w:r>
        </w:p>
      </w:tc>
      <w:tc>
        <w:tcPr>
          <w:tcW w:w="2453" w:type="pct"/>
        </w:tcPr>
        <w:p w14:paraId="3ADA9D1E" w14:textId="03A8F568" w:rsidR="00EC379B" w:rsidRDefault="00D2236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2C4C64">
            <w:t>21.95.879</w:t>
          </w:r>
          <w:r>
            <w:fldChar w:fldCharType="end"/>
          </w:r>
        </w:p>
      </w:tc>
    </w:tr>
    <w:tr w:rsidR="007A08DE" w14:paraId="074AF556" w14:textId="77777777" w:rsidTr="009C1E9A">
      <w:trPr>
        <w:cantSplit/>
      </w:trPr>
      <w:tc>
        <w:tcPr>
          <w:tcW w:w="0" w:type="pct"/>
        </w:tcPr>
        <w:p w14:paraId="3F348271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5C7CEF68" w14:textId="31DF6220" w:rsidR="00EC379B" w:rsidRPr="009C1E9A" w:rsidRDefault="00D2236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16561</w:t>
          </w:r>
        </w:p>
      </w:tc>
      <w:tc>
        <w:tcPr>
          <w:tcW w:w="2453" w:type="pct"/>
        </w:tcPr>
        <w:p w14:paraId="3FF95820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BB69A5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A08DE" w14:paraId="75C26859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1B2AAE6" w14:textId="5CBA03C1" w:rsidR="00EC379B" w:rsidRDefault="00D2236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C42212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1E531E6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E2A261A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B138E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AF999" w14:textId="77777777" w:rsidR="00000000" w:rsidRDefault="00D2236D">
      <w:r>
        <w:separator/>
      </w:r>
    </w:p>
  </w:footnote>
  <w:footnote w:type="continuationSeparator" w:id="0">
    <w:p w14:paraId="0C1BC821" w14:textId="77777777" w:rsidR="00000000" w:rsidRDefault="00D22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F8BCB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74733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07266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B1A43"/>
    <w:multiLevelType w:val="hybridMultilevel"/>
    <w:tmpl w:val="40D6CD98"/>
    <w:lvl w:ilvl="0" w:tplc="2E143D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7EA0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FEFD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2E65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4CB2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A4A2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78EF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220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DA01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EB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1F1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2974"/>
    <w:rsid w:val="000E5B20"/>
    <w:rsid w:val="000E7C14"/>
    <w:rsid w:val="000F094C"/>
    <w:rsid w:val="000F18A2"/>
    <w:rsid w:val="000F2A7F"/>
    <w:rsid w:val="000F3DBD"/>
    <w:rsid w:val="000F4BF5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25AD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2BD"/>
    <w:rsid w:val="002A48DF"/>
    <w:rsid w:val="002A5A84"/>
    <w:rsid w:val="002A5C1A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4C64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2DDF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2AEF"/>
    <w:rsid w:val="00483AF0"/>
    <w:rsid w:val="00484167"/>
    <w:rsid w:val="00492211"/>
    <w:rsid w:val="00492325"/>
    <w:rsid w:val="00492414"/>
    <w:rsid w:val="00492A6D"/>
    <w:rsid w:val="00494303"/>
    <w:rsid w:val="0049682B"/>
    <w:rsid w:val="004A03F7"/>
    <w:rsid w:val="004A081C"/>
    <w:rsid w:val="004A123F"/>
    <w:rsid w:val="004A2172"/>
    <w:rsid w:val="004A39D1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0B21"/>
    <w:rsid w:val="005C1496"/>
    <w:rsid w:val="005C17C5"/>
    <w:rsid w:val="005C2B21"/>
    <w:rsid w:val="005C2C00"/>
    <w:rsid w:val="005C4C6F"/>
    <w:rsid w:val="005C5127"/>
    <w:rsid w:val="005C58F4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E7AD3"/>
    <w:rsid w:val="005F1519"/>
    <w:rsid w:val="005F23E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E78EB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3017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8DE"/>
    <w:rsid w:val="007A0989"/>
    <w:rsid w:val="007A331F"/>
    <w:rsid w:val="007A3844"/>
    <w:rsid w:val="007A4381"/>
    <w:rsid w:val="007A5466"/>
    <w:rsid w:val="007A7EC1"/>
    <w:rsid w:val="007B0423"/>
    <w:rsid w:val="007B4FCA"/>
    <w:rsid w:val="007B7B85"/>
    <w:rsid w:val="007C462E"/>
    <w:rsid w:val="007C496B"/>
    <w:rsid w:val="007C6803"/>
    <w:rsid w:val="007C6D22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0CAB"/>
    <w:rsid w:val="0084176D"/>
    <w:rsid w:val="008423E4"/>
    <w:rsid w:val="00842900"/>
    <w:rsid w:val="008473B9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192F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81E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96BED"/>
    <w:rsid w:val="009A1883"/>
    <w:rsid w:val="009A39F5"/>
    <w:rsid w:val="009A4588"/>
    <w:rsid w:val="009A5EA5"/>
    <w:rsid w:val="009A69A2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021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4A76"/>
    <w:rsid w:val="00B25612"/>
    <w:rsid w:val="00B26437"/>
    <w:rsid w:val="00B2678E"/>
    <w:rsid w:val="00B30647"/>
    <w:rsid w:val="00B31F0E"/>
    <w:rsid w:val="00B34F25"/>
    <w:rsid w:val="00B43672"/>
    <w:rsid w:val="00B459E5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212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67C0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236D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4697B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5DD8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2888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070EB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442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679C7"/>
    <w:rsid w:val="00F706CA"/>
    <w:rsid w:val="00F70F8D"/>
    <w:rsid w:val="00F71C5A"/>
    <w:rsid w:val="00F733A4"/>
    <w:rsid w:val="00F742E3"/>
    <w:rsid w:val="00F7758F"/>
    <w:rsid w:val="00F82811"/>
    <w:rsid w:val="00F84153"/>
    <w:rsid w:val="00F84AEC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81AF5EB-C472-4016-9E4C-B2AF80A5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A42B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A42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A42B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A42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A42BD"/>
    <w:rPr>
      <w:b/>
      <w:bCs/>
    </w:rPr>
  </w:style>
  <w:style w:type="paragraph" w:styleId="Revision">
    <w:name w:val="Revision"/>
    <w:hidden/>
    <w:uiPriority w:val="99"/>
    <w:semiHidden/>
    <w:rsid w:val="00996BED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92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9241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2313</Characters>
  <Application>Microsoft Office Word</Application>
  <DocSecurity>4</DocSecurity>
  <Lines>70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HB00100 (Committee Report (Substituted))</vt:lpstr>
    </vt:vector>
  </TitlesOfParts>
  <Company>State of Texas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18331</dc:subject>
  <dc:creator>State of Texas</dc:creator>
  <dc:description>HB 100 by Gervin-Hawkins-(H)Urban Affairs (Substitute Document Number: 87R 16561)</dc:description>
  <cp:lastModifiedBy>Lauren Bustamente</cp:lastModifiedBy>
  <cp:revision>2</cp:revision>
  <cp:lastPrinted>2003-11-26T17:21:00Z</cp:lastPrinted>
  <dcterms:created xsi:type="dcterms:W3CDTF">2021-04-08T20:43:00Z</dcterms:created>
  <dcterms:modified xsi:type="dcterms:W3CDTF">2021-04-08T20:43:00Z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21.95.879</vt:lpwstr>
  </property>
</Properties>
</file>