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F0290F" w14:paraId="35A69F4D" w14:textId="77777777" w:rsidTr="00345119">
        <w:tc>
          <w:tcPr>
            <w:tcW w:w="9576" w:type="dxa"/>
            <w:noWrap/>
          </w:tcPr>
          <w:p w14:paraId="61708B8E" w14:textId="77777777" w:rsidR="008423E4" w:rsidRPr="0022177D" w:rsidRDefault="005D2652" w:rsidP="00A81E68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543A2935" w14:textId="77777777" w:rsidR="008423E4" w:rsidRPr="0022177D" w:rsidRDefault="008423E4" w:rsidP="00A81E68">
      <w:pPr>
        <w:jc w:val="center"/>
      </w:pPr>
    </w:p>
    <w:p w14:paraId="564BC718" w14:textId="77777777" w:rsidR="008423E4" w:rsidRPr="00B31F0E" w:rsidRDefault="008423E4" w:rsidP="00A81E68"/>
    <w:p w14:paraId="3421D2B0" w14:textId="77777777" w:rsidR="008423E4" w:rsidRPr="00742794" w:rsidRDefault="008423E4" w:rsidP="00A81E68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F0290F" w14:paraId="5F869A51" w14:textId="77777777" w:rsidTr="00345119">
        <w:tc>
          <w:tcPr>
            <w:tcW w:w="9576" w:type="dxa"/>
          </w:tcPr>
          <w:p w14:paraId="109C8428" w14:textId="26B48E6C" w:rsidR="008423E4" w:rsidRPr="00861995" w:rsidRDefault="005D2652" w:rsidP="00A81E68">
            <w:pPr>
              <w:jc w:val="right"/>
            </w:pPr>
            <w:r>
              <w:t>H.B. 195</w:t>
            </w:r>
          </w:p>
        </w:tc>
      </w:tr>
      <w:tr w:rsidR="00F0290F" w14:paraId="71B1D77F" w14:textId="77777777" w:rsidTr="00345119">
        <w:tc>
          <w:tcPr>
            <w:tcW w:w="9576" w:type="dxa"/>
          </w:tcPr>
          <w:p w14:paraId="49DB0093" w14:textId="7B0E8F4E" w:rsidR="008423E4" w:rsidRPr="00861995" w:rsidRDefault="005D2652" w:rsidP="00A81E68">
            <w:pPr>
              <w:jc w:val="right"/>
            </w:pPr>
            <w:r>
              <w:t xml:space="preserve">By: </w:t>
            </w:r>
            <w:r w:rsidR="00F96309">
              <w:t>Bernal</w:t>
            </w:r>
          </w:p>
        </w:tc>
      </w:tr>
      <w:tr w:rsidR="00F0290F" w14:paraId="314966C5" w14:textId="77777777" w:rsidTr="00345119">
        <w:tc>
          <w:tcPr>
            <w:tcW w:w="9576" w:type="dxa"/>
          </w:tcPr>
          <w:p w14:paraId="4EA52A02" w14:textId="63C00DD5" w:rsidR="008423E4" w:rsidRPr="00861995" w:rsidRDefault="005D2652" w:rsidP="00A81E68">
            <w:pPr>
              <w:jc w:val="right"/>
            </w:pPr>
            <w:r>
              <w:t>Urban Affairs</w:t>
            </w:r>
          </w:p>
        </w:tc>
      </w:tr>
      <w:tr w:rsidR="00F0290F" w14:paraId="3D3FC659" w14:textId="77777777" w:rsidTr="00345119">
        <w:tc>
          <w:tcPr>
            <w:tcW w:w="9576" w:type="dxa"/>
          </w:tcPr>
          <w:p w14:paraId="67F85773" w14:textId="465090F4" w:rsidR="008423E4" w:rsidRDefault="005D2652" w:rsidP="00A81E68">
            <w:pPr>
              <w:jc w:val="right"/>
            </w:pPr>
            <w:r>
              <w:t>Committee Report (Unamended)</w:t>
            </w:r>
          </w:p>
        </w:tc>
      </w:tr>
    </w:tbl>
    <w:p w14:paraId="52A90991" w14:textId="77777777" w:rsidR="008423E4" w:rsidRDefault="008423E4" w:rsidP="00A81E68">
      <w:pPr>
        <w:tabs>
          <w:tab w:val="right" w:pos="9360"/>
        </w:tabs>
      </w:pPr>
    </w:p>
    <w:p w14:paraId="39E0D339" w14:textId="77777777" w:rsidR="008423E4" w:rsidRDefault="008423E4" w:rsidP="00A81E68"/>
    <w:p w14:paraId="0113F97E" w14:textId="77777777" w:rsidR="008423E4" w:rsidRDefault="008423E4" w:rsidP="00A81E68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F0290F" w14:paraId="28A42C53" w14:textId="77777777" w:rsidTr="00345119">
        <w:tc>
          <w:tcPr>
            <w:tcW w:w="9576" w:type="dxa"/>
          </w:tcPr>
          <w:p w14:paraId="76570AB2" w14:textId="77777777" w:rsidR="008423E4" w:rsidRPr="00A8133F" w:rsidRDefault="005D2652" w:rsidP="00A81E68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04424A27" w14:textId="77777777" w:rsidR="008423E4" w:rsidRDefault="008423E4" w:rsidP="00A81E68"/>
          <w:p w14:paraId="312782A3" w14:textId="7EF00953" w:rsidR="00817F48" w:rsidRDefault="005D2652" w:rsidP="00A81E6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817F48">
              <w:t xml:space="preserve">A </w:t>
            </w:r>
            <w:r w:rsidR="002E0308">
              <w:t>recent</w:t>
            </w:r>
            <w:r w:rsidRPr="00817F48">
              <w:t xml:space="preserve"> investigative report</w:t>
            </w:r>
            <w:r w:rsidR="002E0308">
              <w:t xml:space="preserve"> </w:t>
            </w:r>
            <w:r w:rsidRPr="00817F48">
              <w:t>found that migrant agricultural workers were being subjected to inhumane living conditions, including</w:t>
            </w:r>
            <w:r w:rsidR="005A7300">
              <w:t xml:space="preserve"> housing such as</w:t>
            </w:r>
            <w:r w:rsidRPr="00817F48">
              <w:t xml:space="preserve"> empty shipping containers and sewage-flooded homes. While the </w:t>
            </w:r>
            <w:r w:rsidR="005A7300" w:rsidRPr="005A7300">
              <w:t>Texas Department of Housing and Community Affairs</w:t>
            </w:r>
            <w:r w:rsidR="005A7300">
              <w:t xml:space="preserve"> </w:t>
            </w:r>
            <w:r w:rsidRPr="00817F48">
              <w:t xml:space="preserve">is responsible for overseeing migrant labor housing facility regulations, </w:t>
            </w:r>
            <w:r w:rsidR="002C7A3C">
              <w:t>it</w:t>
            </w:r>
            <w:r w:rsidRPr="00817F48">
              <w:t xml:space="preserve"> lacks adequate accountability and enforcement mech</w:t>
            </w:r>
            <w:r w:rsidRPr="00817F48">
              <w:t xml:space="preserve">anisms to </w:t>
            </w:r>
            <w:r w:rsidR="000A1C76">
              <w:t xml:space="preserve">properly </w:t>
            </w:r>
            <w:r w:rsidRPr="00817F48">
              <w:t xml:space="preserve">address noncompliance with facility standards, particularly for repeat offenders. </w:t>
            </w:r>
            <w:r w:rsidR="005A7300">
              <w:t>To compound the problem</w:t>
            </w:r>
            <w:r w:rsidRPr="00817F48">
              <w:t>, migrant laborers may be reluctant to report violations relat</w:t>
            </w:r>
            <w:r w:rsidR="005A7300">
              <w:t>ing</w:t>
            </w:r>
            <w:r w:rsidRPr="00817F48">
              <w:t xml:space="preserve"> to substandard housing conditions because of fear of retaliation w</w:t>
            </w:r>
            <w:r w:rsidRPr="00817F48">
              <w:t>hich creates a major barrier to investigations and enforcement.</w:t>
            </w:r>
            <w:r w:rsidR="00950B34">
              <w:t xml:space="preserve"> </w:t>
            </w:r>
            <w:r w:rsidR="001454F3">
              <w:t xml:space="preserve">H.B. 195 seeks to address these issues by revising civil penalty provisions relating to </w:t>
            </w:r>
            <w:r w:rsidR="001454F3" w:rsidRPr="001454F3">
              <w:t>migrant labor housing facilities</w:t>
            </w:r>
            <w:r w:rsidR="001454F3">
              <w:t xml:space="preserve"> in order </w:t>
            </w:r>
            <w:r w:rsidRPr="00817F48">
              <w:t xml:space="preserve">to strengthen accountability and enforcement. </w:t>
            </w:r>
          </w:p>
          <w:p w14:paraId="2E26FC27" w14:textId="77777777" w:rsidR="008423E4" w:rsidRPr="00E26B13" w:rsidRDefault="008423E4" w:rsidP="00A81E68">
            <w:pPr>
              <w:rPr>
                <w:b/>
              </w:rPr>
            </w:pPr>
          </w:p>
        </w:tc>
      </w:tr>
      <w:tr w:rsidR="00F0290F" w14:paraId="040926F1" w14:textId="77777777" w:rsidTr="00345119">
        <w:tc>
          <w:tcPr>
            <w:tcW w:w="9576" w:type="dxa"/>
          </w:tcPr>
          <w:p w14:paraId="3D4542EB" w14:textId="77777777" w:rsidR="0017725B" w:rsidRDefault="005D2652" w:rsidP="00A81E6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</w:t>
            </w:r>
            <w:r>
              <w:rPr>
                <w:b/>
                <w:u w:val="single"/>
              </w:rPr>
              <w:t>ICE IMPACT</w:t>
            </w:r>
          </w:p>
          <w:p w14:paraId="25251840" w14:textId="77777777" w:rsidR="0017725B" w:rsidRDefault="0017725B" w:rsidP="00A81E68">
            <w:pPr>
              <w:rPr>
                <w:b/>
                <w:u w:val="single"/>
              </w:rPr>
            </w:pPr>
          </w:p>
          <w:p w14:paraId="1B2011CA" w14:textId="77777777" w:rsidR="00DD0A03" w:rsidRPr="00DD0A03" w:rsidRDefault="005D2652" w:rsidP="00A81E68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or category of offenses, or change the eligibility of a person for community supervision, </w:t>
            </w:r>
            <w:r>
              <w:t>parole, or mandatory supervision.</w:t>
            </w:r>
          </w:p>
          <w:p w14:paraId="38573140" w14:textId="77777777" w:rsidR="0017725B" w:rsidRPr="0017725B" w:rsidRDefault="0017725B" w:rsidP="00A81E68">
            <w:pPr>
              <w:rPr>
                <w:b/>
                <w:u w:val="single"/>
              </w:rPr>
            </w:pPr>
          </w:p>
        </w:tc>
      </w:tr>
      <w:tr w:rsidR="00F0290F" w14:paraId="0AB97215" w14:textId="77777777" w:rsidTr="00345119">
        <w:tc>
          <w:tcPr>
            <w:tcW w:w="9576" w:type="dxa"/>
          </w:tcPr>
          <w:p w14:paraId="6E2791FD" w14:textId="77777777" w:rsidR="008423E4" w:rsidRPr="00A8133F" w:rsidRDefault="005D2652" w:rsidP="00A81E68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7F1877B7" w14:textId="77777777" w:rsidR="008423E4" w:rsidRDefault="008423E4" w:rsidP="00A81E68"/>
          <w:p w14:paraId="68B59B64" w14:textId="77777777" w:rsidR="00DD0A03" w:rsidRDefault="005D2652" w:rsidP="00A81E6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rulemaking authority is expressly granted to the </w:t>
            </w:r>
            <w:r w:rsidRPr="00DD0A03">
              <w:t>Texas Department of Housing and Community Affairs</w:t>
            </w:r>
            <w:r>
              <w:t xml:space="preserve"> in </w:t>
            </w:r>
            <w:r w:rsidRPr="00DD0A03">
              <w:t>SECTION 1</w:t>
            </w:r>
            <w:r>
              <w:t xml:space="preserve"> of this bill.</w:t>
            </w:r>
          </w:p>
          <w:p w14:paraId="1A174B88" w14:textId="77777777" w:rsidR="008423E4" w:rsidRPr="00E21FDC" w:rsidRDefault="008423E4" w:rsidP="00A81E68">
            <w:pPr>
              <w:rPr>
                <w:b/>
              </w:rPr>
            </w:pPr>
          </w:p>
        </w:tc>
      </w:tr>
      <w:tr w:rsidR="00F0290F" w14:paraId="4BF7F20D" w14:textId="77777777" w:rsidTr="00345119">
        <w:tc>
          <w:tcPr>
            <w:tcW w:w="9576" w:type="dxa"/>
          </w:tcPr>
          <w:p w14:paraId="075A42A9" w14:textId="77777777" w:rsidR="008423E4" w:rsidRPr="00A8133F" w:rsidRDefault="005D2652" w:rsidP="00A81E68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2CBBF542" w14:textId="77777777" w:rsidR="008423E4" w:rsidRDefault="008423E4" w:rsidP="00A81E68"/>
          <w:p w14:paraId="41BCB0BB" w14:textId="06137DE2" w:rsidR="0042173A" w:rsidRDefault="005D2652" w:rsidP="00A81E6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</w:t>
            </w:r>
            <w:r w:rsidR="007D5229">
              <w:t xml:space="preserve">195 amends the </w:t>
            </w:r>
            <w:r w:rsidR="007D5229" w:rsidRPr="007D5229">
              <w:t>Government Code</w:t>
            </w:r>
            <w:r w:rsidR="007D5229">
              <w:t xml:space="preserve"> to</w:t>
            </w:r>
            <w:r>
              <w:t xml:space="preserve"> change the amount of the civil penalty for a violation of provisions governing </w:t>
            </w:r>
            <w:r w:rsidRPr="00E47365">
              <w:t xml:space="preserve">migrant labor housing facilities </w:t>
            </w:r>
            <w:r w:rsidRPr="00210683">
              <w:t xml:space="preserve">or a rule adopted under </w:t>
            </w:r>
            <w:r w:rsidR="007C63D4">
              <w:t>those</w:t>
            </w:r>
            <w:r w:rsidR="007C63D4" w:rsidRPr="00210683">
              <w:t xml:space="preserve"> </w:t>
            </w:r>
            <w:r w:rsidRPr="00210683">
              <w:t>provisions</w:t>
            </w:r>
            <w:r>
              <w:t xml:space="preserve"> from $200 for each day that the violation occurs to </w:t>
            </w:r>
            <w:r w:rsidRPr="008F3525">
              <w:t>a minimum</w:t>
            </w:r>
            <w:r>
              <w:t xml:space="preserve"> of $50 for each person</w:t>
            </w:r>
            <w:r>
              <w:t xml:space="preserve"> occupying the migrant labor housing facility in violation of those provisions for each day that the violation occurs. The bill does the following with respect to </w:t>
            </w:r>
            <w:r w:rsidR="007C63D4">
              <w:t xml:space="preserve">the </w:t>
            </w:r>
            <w:r>
              <w:t>violations and penalties:</w:t>
            </w:r>
          </w:p>
          <w:p w14:paraId="38B6E4D4" w14:textId="149894B5" w:rsidR="0042173A" w:rsidRDefault="005D2652" w:rsidP="00A81E68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>extends the authori</w:t>
            </w:r>
            <w:r w:rsidR="00A63AFA">
              <w:t>ty</w:t>
            </w:r>
            <w:r>
              <w:t xml:space="preserve"> </w:t>
            </w:r>
            <w:r w:rsidR="00A63AFA">
              <w:t>to bring</w:t>
            </w:r>
            <w:r>
              <w:t xml:space="preserve"> an action to collect a penalty t</w:t>
            </w:r>
            <w:r>
              <w:t xml:space="preserve">o the </w:t>
            </w:r>
            <w:r w:rsidR="00660209">
              <w:t>Texas Department of Housing and Community Affairs (</w:t>
            </w:r>
            <w:r>
              <w:t>TDHCA</w:t>
            </w:r>
            <w:r w:rsidR="00660209">
              <w:t>)</w:t>
            </w:r>
            <w:r>
              <w:t xml:space="preserve"> through a prescribed contested case hearing process </w:t>
            </w:r>
            <w:r w:rsidR="00A63AFA">
              <w:t>and to</w:t>
            </w:r>
            <w:r>
              <w:t xml:space="preserve"> a migrant agricultural worker who, at the time of the violation, lived in the facility that is the subject of the violation;</w:t>
            </w:r>
          </w:p>
          <w:p w14:paraId="5B755FF9" w14:textId="7E73CC28" w:rsidR="0042173A" w:rsidRDefault="005D2652" w:rsidP="00A81E68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>requires</w:t>
            </w:r>
            <w:r>
              <w:t xml:space="preserve"> the TDHCA by rule to adopt a penalty schedule that increases the amount of the penalty assessed against a person who repeatedly violates provisions governing </w:t>
            </w:r>
            <w:r w:rsidRPr="00725ADD">
              <w:t>migrant labor housing facilities</w:t>
            </w:r>
            <w:r>
              <w:t xml:space="preserve"> or rules adopted under </w:t>
            </w:r>
            <w:r w:rsidR="009E04CA">
              <w:t xml:space="preserve">those </w:t>
            </w:r>
            <w:r>
              <w:t>provisions;</w:t>
            </w:r>
            <w:r w:rsidR="00EE2DE3">
              <w:t xml:space="preserve"> and</w:t>
            </w:r>
          </w:p>
          <w:p w14:paraId="40EFADD2" w14:textId="413BBF8C" w:rsidR="0042173A" w:rsidRDefault="005D2652" w:rsidP="00A81E68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requires a penalty </w:t>
            </w:r>
            <w:r>
              <w:t>collected</w:t>
            </w:r>
            <w:r w:rsidRPr="008034D7">
              <w:t xml:space="preserve"> </w:t>
            </w:r>
            <w:r w:rsidRPr="00270015">
              <w:t>through</w:t>
            </w:r>
            <w:r>
              <w:t xml:space="preserve"> an action brought by</w:t>
            </w:r>
            <w:r w:rsidRPr="008034D7">
              <w:t xml:space="preserve"> the TDHCA, </w:t>
            </w:r>
            <w:r>
              <w:t>a</w:t>
            </w:r>
            <w:r w:rsidRPr="008034D7">
              <w:t xml:space="preserve"> county attorney, or the attorney general</w:t>
            </w:r>
            <w:r>
              <w:t xml:space="preserve"> to be deposited to the credit of the general revenue fund </w:t>
            </w:r>
            <w:r w:rsidRPr="00210683">
              <w:t xml:space="preserve">and restricts appropriation of the penalty to the TDHCA for the enforcement of </w:t>
            </w:r>
            <w:r>
              <w:t xml:space="preserve">provisions governing </w:t>
            </w:r>
            <w:r w:rsidRPr="00725ADD">
              <w:t>migra</w:t>
            </w:r>
            <w:r w:rsidRPr="00725ADD">
              <w:t>nt labor housing facilities</w:t>
            </w:r>
            <w:r w:rsidR="00EE2DE3">
              <w:t>.</w:t>
            </w:r>
          </w:p>
          <w:p w14:paraId="45EC2D60" w14:textId="2C3025DE" w:rsidR="009C36CD" w:rsidRDefault="009C36CD" w:rsidP="00A81E6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56F92F81" w14:textId="4DA7F82E" w:rsidR="0042173A" w:rsidRDefault="005D2652" w:rsidP="00A81E68">
            <w:pPr>
              <w:pStyle w:val="Header"/>
              <w:jc w:val="both"/>
            </w:pPr>
            <w:r>
              <w:t xml:space="preserve">H.B. </w:t>
            </w:r>
            <w:r w:rsidR="00EE2DE3">
              <w:t>195</w:t>
            </w:r>
            <w:r>
              <w:t xml:space="preserve"> prohibits the following from retaliating against a person for filing a complaint or providing information in good faith relating to a possible violation of</w:t>
            </w:r>
            <w:r w:rsidRPr="000953CE">
              <w:t xml:space="preserve"> </w:t>
            </w:r>
            <w:r>
              <w:t xml:space="preserve">provisions governing </w:t>
            </w:r>
            <w:r w:rsidRPr="00725ADD">
              <w:t>migrant labor housing facilities</w:t>
            </w:r>
            <w:r>
              <w:t>:</w:t>
            </w:r>
          </w:p>
          <w:p w14:paraId="30A04154" w14:textId="28E5FD71" w:rsidR="0042173A" w:rsidRDefault="005D2652" w:rsidP="00A81E68">
            <w:pPr>
              <w:pStyle w:val="Header"/>
              <w:numPr>
                <w:ilvl w:val="0"/>
                <w:numId w:val="3"/>
              </w:numPr>
              <w:jc w:val="both"/>
            </w:pPr>
            <w:r>
              <w:t>a pers</w:t>
            </w:r>
            <w:r>
              <w:t xml:space="preserve">on who owns, establishes, maintains, operates, or otherwise provides a migrant labor housing facility; </w:t>
            </w:r>
          </w:p>
          <w:p w14:paraId="0EF708B6" w14:textId="77777777" w:rsidR="0042173A" w:rsidRDefault="005D2652" w:rsidP="00A81E68">
            <w:pPr>
              <w:pStyle w:val="Header"/>
              <w:numPr>
                <w:ilvl w:val="0"/>
                <w:numId w:val="3"/>
              </w:numPr>
              <w:jc w:val="both"/>
            </w:pPr>
            <w:r>
              <w:t xml:space="preserve">a person who employs a migrant agricultural worker who occupies a migrant labor housing facility; or </w:t>
            </w:r>
          </w:p>
          <w:p w14:paraId="3615F5C0" w14:textId="77777777" w:rsidR="0042173A" w:rsidRDefault="005D2652" w:rsidP="00A81E68">
            <w:pPr>
              <w:pStyle w:val="Header"/>
              <w:numPr>
                <w:ilvl w:val="0"/>
                <w:numId w:val="3"/>
              </w:numPr>
              <w:tabs>
                <w:tab w:val="clear" w:pos="4320"/>
                <w:tab w:val="clear" w:pos="8640"/>
              </w:tabs>
              <w:jc w:val="both"/>
            </w:pPr>
            <w:r>
              <w:t>a farm labor contractor.</w:t>
            </w:r>
          </w:p>
          <w:p w14:paraId="0381931B" w14:textId="77777777" w:rsidR="0042173A" w:rsidRDefault="0042173A" w:rsidP="00A81E6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1CF529CF" w14:textId="77777777" w:rsidR="0042173A" w:rsidRPr="009C36CD" w:rsidRDefault="005D2652" w:rsidP="00A81E6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195 authorizes t</w:t>
            </w:r>
            <w:r w:rsidRPr="0042173A">
              <w:t xml:space="preserve">he </w:t>
            </w:r>
            <w:r w:rsidRPr="0042173A">
              <w:t xml:space="preserve">court in a suit brought under </w:t>
            </w:r>
            <w:r>
              <w:t xml:space="preserve">provisions </w:t>
            </w:r>
            <w:r w:rsidRPr="00EE2DE3">
              <w:t>governing migrant labor housing facilities</w:t>
            </w:r>
            <w:r>
              <w:t xml:space="preserve"> to</w:t>
            </w:r>
            <w:r w:rsidRPr="0042173A">
              <w:t xml:space="preserve"> award reasonable attorney's fees to the prevailing party.</w:t>
            </w:r>
            <w:r>
              <w:t xml:space="preserve"> </w:t>
            </w:r>
            <w:r w:rsidRPr="007A6000">
              <w:t>The TDHCA</w:t>
            </w:r>
            <w:r>
              <w:t xml:space="preserve"> must adopt the rules necessary to implement the bill's provisions</w:t>
            </w:r>
            <w:r w:rsidRPr="007A6000">
              <w:t xml:space="preserve"> not later than March 1, 20</w:t>
            </w:r>
            <w:r>
              <w:t>22.</w:t>
            </w:r>
          </w:p>
          <w:p w14:paraId="0451AA1E" w14:textId="77777777" w:rsidR="008423E4" w:rsidRPr="00835628" w:rsidRDefault="008423E4" w:rsidP="00A81E68">
            <w:pPr>
              <w:rPr>
                <w:b/>
              </w:rPr>
            </w:pPr>
          </w:p>
        </w:tc>
      </w:tr>
      <w:tr w:rsidR="00F0290F" w14:paraId="01B01015" w14:textId="77777777" w:rsidTr="00345119">
        <w:tc>
          <w:tcPr>
            <w:tcW w:w="9576" w:type="dxa"/>
          </w:tcPr>
          <w:p w14:paraId="020DBC8F" w14:textId="77777777" w:rsidR="008423E4" w:rsidRPr="00A8133F" w:rsidRDefault="005D2652" w:rsidP="00A81E68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640779A3" w14:textId="77777777" w:rsidR="008423E4" w:rsidRDefault="008423E4" w:rsidP="00A81E68"/>
          <w:p w14:paraId="0DD24B32" w14:textId="77777777" w:rsidR="008423E4" w:rsidRPr="003624F2" w:rsidRDefault="005D2652" w:rsidP="00A81E6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579B73A3" w14:textId="77777777" w:rsidR="008423E4" w:rsidRPr="00233FDB" w:rsidRDefault="008423E4" w:rsidP="00A81E68">
            <w:pPr>
              <w:rPr>
                <w:b/>
              </w:rPr>
            </w:pPr>
          </w:p>
        </w:tc>
      </w:tr>
    </w:tbl>
    <w:p w14:paraId="5A659D44" w14:textId="77777777" w:rsidR="008423E4" w:rsidRPr="00BE0E75" w:rsidRDefault="008423E4" w:rsidP="00A81E68">
      <w:pPr>
        <w:jc w:val="both"/>
        <w:rPr>
          <w:rFonts w:ascii="Arial" w:hAnsi="Arial"/>
          <w:sz w:val="16"/>
          <w:szCs w:val="16"/>
        </w:rPr>
      </w:pPr>
    </w:p>
    <w:p w14:paraId="074F16EC" w14:textId="77777777" w:rsidR="004108C3" w:rsidRPr="008423E4" w:rsidRDefault="004108C3" w:rsidP="00A81E68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0212D1" w14:textId="77777777" w:rsidR="00000000" w:rsidRDefault="005D2652">
      <w:r>
        <w:separator/>
      </w:r>
    </w:p>
  </w:endnote>
  <w:endnote w:type="continuationSeparator" w:id="0">
    <w:p w14:paraId="74C03988" w14:textId="77777777" w:rsidR="00000000" w:rsidRDefault="005D2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19F401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F0290F" w14:paraId="538D8549" w14:textId="77777777" w:rsidTr="009C1E9A">
      <w:trPr>
        <w:cantSplit/>
      </w:trPr>
      <w:tc>
        <w:tcPr>
          <w:tcW w:w="0" w:type="pct"/>
        </w:tcPr>
        <w:p w14:paraId="3E020B34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6F74A839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696686D8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1D4FFB4A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20681229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F0290F" w14:paraId="2D80C115" w14:textId="77777777" w:rsidTr="009C1E9A">
      <w:trPr>
        <w:cantSplit/>
      </w:trPr>
      <w:tc>
        <w:tcPr>
          <w:tcW w:w="0" w:type="pct"/>
        </w:tcPr>
        <w:p w14:paraId="773F2BEA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4D84AD83" w14:textId="7CB55AD1" w:rsidR="00EC379B" w:rsidRPr="009C1E9A" w:rsidRDefault="005D2652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19257</w:t>
          </w:r>
        </w:p>
      </w:tc>
      <w:tc>
        <w:tcPr>
          <w:tcW w:w="2453" w:type="pct"/>
        </w:tcPr>
        <w:p w14:paraId="76015E04" w14:textId="57F17ABB" w:rsidR="00EC379B" w:rsidRDefault="005D265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F52AC8">
            <w:t>21.100.406</w:t>
          </w:r>
          <w:r>
            <w:fldChar w:fldCharType="end"/>
          </w:r>
        </w:p>
      </w:tc>
    </w:tr>
    <w:tr w:rsidR="00F0290F" w14:paraId="6355697F" w14:textId="77777777" w:rsidTr="009C1E9A">
      <w:trPr>
        <w:cantSplit/>
      </w:trPr>
      <w:tc>
        <w:tcPr>
          <w:tcW w:w="0" w:type="pct"/>
        </w:tcPr>
        <w:p w14:paraId="3F7BFF65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1301AB72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421B0184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2115FB46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F0290F" w14:paraId="0C257517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5EBD0866" w14:textId="4C805CA9" w:rsidR="00EC379B" w:rsidRDefault="005D2652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C000C5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14F8140A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1409A257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2BB75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B24123" w14:textId="77777777" w:rsidR="00000000" w:rsidRDefault="005D2652">
      <w:r>
        <w:separator/>
      </w:r>
    </w:p>
  </w:footnote>
  <w:footnote w:type="continuationSeparator" w:id="0">
    <w:p w14:paraId="1EB245E7" w14:textId="77777777" w:rsidR="00000000" w:rsidRDefault="005D26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81AF19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64FC0B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FDF9AB" w14:textId="77777777" w:rsidR="00EC379B" w:rsidRDefault="00EC3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22DA5"/>
    <w:multiLevelType w:val="hybridMultilevel"/>
    <w:tmpl w:val="FEA49E12"/>
    <w:lvl w:ilvl="0" w:tplc="7A7C8A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60B9F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9B4372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5825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8684B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98C7B8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36E8F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FA682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8E4EA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8364A1"/>
    <w:multiLevelType w:val="hybridMultilevel"/>
    <w:tmpl w:val="A6A0C330"/>
    <w:lvl w:ilvl="0" w:tplc="EEDCF5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734F46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B4E54B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CEBE2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C4C7B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71E53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9213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5AD16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AEA85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094DBD"/>
    <w:multiLevelType w:val="hybridMultilevel"/>
    <w:tmpl w:val="2BB4F77A"/>
    <w:lvl w:ilvl="0" w:tplc="80F2685A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1" w:tplc="E04A2790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218A2E42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E014E526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8A6A9FEE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AF81D4E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B0F2C4F4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454492B8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3B8269BA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118"/>
    <w:rsid w:val="00000A70"/>
    <w:rsid w:val="000032B8"/>
    <w:rsid w:val="00003B06"/>
    <w:rsid w:val="000054B9"/>
    <w:rsid w:val="00007461"/>
    <w:rsid w:val="0001112D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53CE"/>
    <w:rsid w:val="00097AAF"/>
    <w:rsid w:val="00097D13"/>
    <w:rsid w:val="000A1C76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12B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54F3"/>
    <w:rsid w:val="00147530"/>
    <w:rsid w:val="0015331F"/>
    <w:rsid w:val="00156AB2"/>
    <w:rsid w:val="001572EA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0683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3537"/>
    <w:rsid w:val="002548AF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0015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C7A3C"/>
    <w:rsid w:val="002D05CC"/>
    <w:rsid w:val="002D305A"/>
    <w:rsid w:val="002E0308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C7CE1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173A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A7300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2652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4917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0209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5ADD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6000"/>
    <w:rsid w:val="007A7EC1"/>
    <w:rsid w:val="007B4FCA"/>
    <w:rsid w:val="007B7B85"/>
    <w:rsid w:val="007C462E"/>
    <w:rsid w:val="007C496B"/>
    <w:rsid w:val="007C63D4"/>
    <w:rsid w:val="007C6803"/>
    <w:rsid w:val="007D2892"/>
    <w:rsid w:val="007D2DCC"/>
    <w:rsid w:val="007D47E1"/>
    <w:rsid w:val="007D5229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34D7"/>
    <w:rsid w:val="00805402"/>
    <w:rsid w:val="0080765F"/>
    <w:rsid w:val="00812BE3"/>
    <w:rsid w:val="00814516"/>
    <w:rsid w:val="00815C9D"/>
    <w:rsid w:val="008170E2"/>
    <w:rsid w:val="00817F48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3525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5E6B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0B34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010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04CA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5F28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3AFA"/>
    <w:rsid w:val="00A644B8"/>
    <w:rsid w:val="00A70E35"/>
    <w:rsid w:val="00A720DC"/>
    <w:rsid w:val="00A803CF"/>
    <w:rsid w:val="00A8133F"/>
    <w:rsid w:val="00A81E68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3398"/>
    <w:rsid w:val="00AE4F1C"/>
    <w:rsid w:val="00AE63BA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0A5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774AC"/>
    <w:rsid w:val="00B80532"/>
    <w:rsid w:val="00B82039"/>
    <w:rsid w:val="00B82454"/>
    <w:rsid w:val="00B90097"/>
    <w:rsid w:val="00B90999"/>
    <w:rsid w:val="00B91AD7"/>
    <w:rsid w:val="00B92A6A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22E6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00C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1A9B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8473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0A03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5B72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47365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015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DE3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290F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2AC8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309"/>
    <w:rsid w:val="00F96602"/>
    <w:rsid w:val="00F9735A"/>
    <w:rsid w:val="00FA213B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D4118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28AFEA9-DCA2-4F66-A976-308A53739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2548A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548A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548AF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548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548AF"/>
    <w:rPr>
      <w:b/>
      <w:bCs/>
    </w:rPr>
  </w:style>
  <w:style w:type="paragraph" w:styleId="Revision">
    <w:name w:val="Revision"/>
    <w:hidden/>
    <w:uiPriority w:val="99"/>
    <w:semiHidden/>
    <w:rsid w:val="000F312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535</Words>
  <Characters>3034</Characters>
  <Application>Microsoft Office Word</Application>
  <DocSecurity>4</DocSecurity>
  <Lines>72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HB00195 (Committee Report (Unamended))</vt:lpstr>
    </vt:vector>
  </TitlesOfParts>
  <Company>State of Texas</Company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19257</dc:subject>
  <dc:creator>State of Texas</dc:creator>
  <dc:description>HB 195 by Bernal-(H)Urban Affairs</dc:description>
  <cp:lastModifiedBy>Stacey Nicchio</cp:lastModifiedBy>
  <cp:revision>2</cp:revision>
  <cp:lastPrinted>2003-11-26T17:21:00Z</cp:lastPrinted>
  <dcterms:created xsi:type="dcterms:W3CDTF">2021-04-16T23:07:00Z</dcterms:created>
  <dcterms:modified xsi:type="dcterms:W3CDTF">2021-04-16T23:07:00Z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21.100.406</vt:lpwstr>
  </property>
</Properties>
</file>