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F298C" w14:paraId="39C3E1F9" w14:textId="77777777" w:rsidTr="00345119">
        <w:tc>
          <w:tcPr>
            <w:tcW w:w="9576" w:type="dxa"/>
            <w:noWrap/>
          </w:tcPr>
          <w:p w14:paraId="6BD732C7" w14:textId="77777777" w:rsidR="008423E4" w:rsidRPr="0022177D" w:rsidRDefault="00C463F7" w:rsidP="00E76A4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AC0D3AB" w14:textId="77777777" w:rsidR="008423E4" w:rsidRPr="0022177D" w:rsidRDefault="008423E4" w:rsidP="00E76A46">
      <w:pPr>
        <w:jc w:val="center"/>
      </w:pPr>
    </w:p>
    <w:p w14:paraId="4285022A" w14:textId="77777777" w:rsidR="008423E4" w:rsidRPr="00B31F0E" w:rsidRDefault="008423E4" w:rsidP="00E76A46"/>
    <w:p w14:paraId="03B0E432" w14:textId="77777777" w:rsidR="008423E4" w:rsidRPr="00742794" w:rsidRDefault="008423E4" w:rsidP="00E76A4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298C" w14:paraId="0BC44D12" w14:textId="77777777" w:rsidTr="00345119">
        <w:tc>
          <w:tcPr>
            <w:tcW w:w="9576" w:type="dxa"/>
          </w:tcPr>
          <w:p w14:paraId="342F0AF6" w14:textId="4FF4D8DB" w:rsidR="008423E4" w:rsidRPr="00861995" w:rsidRDefault="00C463F7" w:rsidP="00E76A46">
            <w:pPr>
              <w:jc w:val="right"/>
            </w:pPr>
            <w:r>
              <w:t>C.S.H.B. 249</w:t>
            </w:r>
          </w:p>
        </w:tc>
      </w:tr>
      <w:tr w:rsidR="00DF298C" w14:paraId="57D6B633" w14:textId="77777777" w:rsidTr="00345119">
        <w:tc>
          <w:tcPr>
            <w:tcW w:w="9576" w:type="dxa"/>
          </w:tcPr>
          <w:p w14:paraId="04CD6CE1" w14:textId="560A04CE" w:rsidR="008423E4" w:rsidRPr="00861995" w:rsidRDefault="00C463F7" w:rsidP="00E76A46">
            <w:pPr>
              <w:jc w:val="right"/>
            </w:pPr>
            <w:r>
              <w:t xml:space="preserve">By: </w:t>
            </w:r>
            <w:r w:rsidR="005D1C3B">
              <w:t>Cortez</w:t>
            </w:r>
          </w:p>
        </w:tc>
      </w:tr>
      <w:tr w:rsidR="00DF298C" w14:paraId="42DD2C31" w14:textId="77777777" w:rsidTr="00345119">
        <w:tc>
          <w:tcPr>
            <w:tcW w:w="9576" w:type="dxa"/>
          </w:tcPr>
          <w:p w14:paraId="6318A0C9" w14:textId="46DD3D42" w:rsidR="008423E4" w:rsidRPr="00861995" w:rsidRDefault="00C463F7" w:rsidP="00E76A46">
            <w:pPr>
              <w:jc w:val="right"/>
            </w:pPr>
            <w:r>
              <w:t>Urban Affairs</w:t>
            </w:r>
          </w:p>
        </w:tc>
      </w:tr>
      <w:tr w:rsidR="00DF298C" w14:paraId="0BE23567" w14:textId="77777777" w:rsidTr="00345119">
        <w:tc>
          <w:tcPr>
            <w:tcW w:w="9576" w:type="dxa"/>
          </w:tcPr>
          <w:p w14:paraId="39F5203A" w14:textId="3509A565" w:rsidR="008423E4" w:rsidRDefault="00C463F7" w:rsidP="00E76A46">
            <w:pPr>
              <w:jc w:val="right"/>
            </w:pPr>
            <w:r>
              <w:t>Committee Report (Substituted)</w:t>
            </w:r>
          </w:p>
        </w:tc>
      </w:tr>
    </w:tbl>
    <w:p w14:paraId="00276C37" w14:textId="77777777" w:rsidR="008423E4" w:rsidRDefault="008423E4" w:rsidP="00E76A46">
      <w:pPr>
        <w:tabs>
          <w:tab w:val="right" w:pos="9360"/>
        </w:tabs>
      </w:pPr>
    </w:p>
    <w:p w14:paraId="036F2B83" w14:textId="77777777" w:rsidR="008423E4" w:rsidRDefault="008423E4" w:rsidP="00E76A46"/>
    <w:p w14:paraId="5AE4F68A" w14:textId="77777777" w:rsidR="008423E4" w:rsidRDefault="008423E4" w:rsidP="00E76A4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F298C" w14:paraId="711FC648" w14:textId="77777777" w:rsidTr="00DD245E">
        <w:tc>
          <w:tcPr>
            <w:tcW w:w="9360" w:type="dxa"/>
          </w:tcPr>
          <w:p w14:paraId="1CD2EBF4" w14:textId="77777777" w:rsidR="008423E4" w:rsidRPr="00A8133F" w:rsidRDefault="00C463F7" w:rsidP="00E76A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2B2BED7" w14:textId="77777777" w:rsidR="008423E4" w:rsidRDefault="008423E4" w:rsidP="00E76A46"/>
          <w:p w14:paraId="67AEA172" w14:textId="77777777" w:rsidR="00DD2DCE" w:rsidRDefault="00C463F7" w:rsidP="00E76A46">
            <w:pPr>
              <w:pStyle w:val="Header"/>
              <w:jc w:val="both"/>
            </w:pPr>
            <w:r w:rsidRPr="00E12A72">
              <w:t xml:space="preserve">Texas Department of Housing and Community Affairs administers the </w:t>
            </w:r>
            <w:r>
              <w:t xml:space="preserve">state's </w:t>
            </w:r>
            <w:r w:rsidRPr="00E12A72">
              <w:t>low income housing tax credit program</w:t>
            </w:r>
            <w:r w:rsidR="00A870FE">
              <w:t xml:space="preserve"> which helps</w:t>
            </w:r>
            <w:r w:rsidRPr="00E12A72">
              <w:t xml:space="preserve"> fund</w:t>
            </w:r>
            <w:r>
              <w:t xml:space="preserve"> the construction of affordable,</w:t>
            </w:r>
            <w:r w:rsidRPr="00E12A72">
              <w:t xml:space="preserve"> multi</w:t>
            </w:r>
            <w:r w:rsidRPr="00D90D0E">
              <w:t>family</w:t>
            </w:r>
            <w:r w:rsidRPr="00E12A72">
              <w:t xml:space="preserve"> housing developments for Texa</w:t>
            </w:r>
            <w:r w:rsidR="00A870FE">
              <w:t>n</w:t>
            </w:r>
            <w:r w:rsidRPr="00E12A72">
              <w:t>s.</w:t>
            </w:r>
            <w:r w:rsidR="002A6BA9">
              <w:t xml:space="preserve"> Applications for the program are competitive and scored according to established criteria.</w:t>
            </w:r>
            <w:r w:rsidRPr="00E12A72">
              <w:t xml:space="preserve"> </w:t>
            </w:r>
          </w:p>
          <w:p w14:paraId="5922AE95" w14:textId="77777777" w:rsidR="00DD2DCE" w:rsidRDefault="00DD2DCE" w:rsidP="00E76A46">
            <w:pPr>
              <w:pStyle w:val="Header"/>
              <w:jc w:val="both"/>
            </w:pPr>
          </w:p>
          <w:p w14:paraId="7757D9FA" w14:textId="77777777" w:rsidR="00DD2DCE" w:rsidRDefault="00C463F7" w:rsidP="00E76A46">
            <w:pPr>
              <w:pStyle w:val="Header"/>
              <w:jc w:val="both"/>
            </w:pPr>
            <w:r w:rsidRPr="00E12A72">
              <w:t xml:space="preserve">Under current </w:t>
            </w:r>
            <w:r w:rsidR="002A6BA9">
              <w:t>law,</w:t>
            </w:r>
            <w:r w:rsidRPr="00E12A72">
              <w:t xml:space="preserve"> to receive </w:t>
            </w:r>
            <w:r w:rsidR="002A6BA9">
              <w:t>a</w:t>
            </w:r>
            <w:r w:rsidR="002A6BA9" w:rsidRPr="00E12A72">
              <w:t xml:space="preserve"> </w:t>
            </w:r>
            <w:r w:rsidRPr="00E12A72">
              <w:t>scoring benefit the majority of the board of director</w:t>
            </w:r>
            <w:r w:rsidRPr="00E12A72">
              <w:t xml:space="preserve">s for the nonprofit </w:t>
            </w:r>
            <w:r w:rsidR="002A6BA9">
              <w:t xml:space="preserve">applying for a grant </w:t>
            </w:r>
            <w:r w:rsidRPr="00E12A72">
              <w:t>must live within 90 miles of the</w:t>
            </w:r>
            <w:r w:rsidR="002A6BA9">
              <w:t xml:space="preserve"> development</w:t>
            </w:r>
            <w:r w:rsidRPr="00E12A72">
              <w:t xml:space="preserve"> site for </w:t>
            </w:r>
            <w:r w:rsidR="002A6BA9">
              <w:t xml:space="preserve">projects not in a rural area. </w:t>
            </w:r>
            <w:r w:rsidR="00A870FE">
              <w:t xml:space="preserve">If </w:t>
            </w:r>
            <w:r w:rsidR="002A6BA9">
              <w:t>the development is in a rural area</w:t>
            </w:r>
            <w:r w:rsidR="00A870FE">
              <w:t xml:space="preserve">, </w:t>
            </w:r>
            <w:r w:rsidR="002A6BA9">
              <w:t>a majority must principally reside somewhere in Texas</w:t>
            </w:r>
            <w:r w:rsidRPr="00E12A72">
              <w:t>.</w:t>
            </w:r>
            <w:r>
              <w:t xml:space="preserve"> </w:t>
            </w:r>
            <w:r w:rsidR="002A6BA9">
              <w:t xml:space="preserve">This places barriers on development in smaller municipalities and counties that do not qualify as rural but that have fewer </w:t>
            </w:r>
            <w:r>
              <w:t xml:space="preserve">highly qualified </w:t>
            </w:r>
            <w:r w:rsidR="002A6BA9">
              <w:t>nonprofit organizations operating in the area</w:t>
            </w:r>
            <w:r>
              <w:t xml:space="preserve">. </w:t>
            </w:r>
          </w:p>
          <w:p w14:paraId="54ECC499" w14:textId="77777777" w:rsidR="00DD2DCE" w:rsidRDefault="00DD2DCE" w:rsidP="00E76A46">
            <w:pPr>
              <w:pStyle w:val="Header"/>
              <w:jc w:val="both"/>
            </w:pPr>
          </w:p>
          <w:p w14:paraId="7E5017B7" w14:textId="23537CF0" w:rsidR="008423E4" w:rsidRDefault="00C463F7" w:rsidP="00E76A46">
            <w:pPr>
              <w:pStyle w:val="Header"/>
              <w:jc w:val="both"/>
            </w:pPr>
            <w:r>
              <w:t>C.S.</w:t>
            </w:r>
            <w:r w:rsidR="00E12A72">
              <w:t>H</w:t>
            </w:r>
            <w:r>
              <w:t>.</w:t>
            </w:r>
            <w:r w:rsidR="00E12A72">
              <w:t>B</w:t>
            </w:r>
            <w:r>
              <w:t>.</w:t>
            </w:r>
            <w:r w:rsidR="00E12A72">
              <w:t xml:space="preserve"> 249 </w:t>
            </w:r>
            <w:r>
              <w:t xml:space="preserve">seeks to </w:t>
            </w:r>
            <w:r w:rsidR="00E12A72">
              <w:t>improve statewide community access to qualified regional and national nonprofits with proven affordable housing capacity and experience developing service‐enriched affordable housing in Texas</w:t>
            </w:r>
            <w:r>
              <w:t>, thus providing for the</w:t>
            </w:r>
            <w:r w:rsidR="00E12A72">
              <w:t xml:space="preserve"> construct</w:t>
            </w:r>
            <w:r>
              <w:t>ion of more</w:t>
            </w:r>
            <w:r w:rsidR="00E12A72">
              <w:t xml:space="preserve"> housing for vulnerable populations such as </w:t>
            </w:r>
            <w:r>
              <w:t xml:space="preserve">the </w:t>
            </w:r>
            <w:r w:rsidR="00E12A72">
              <w:t>homeless, veterans, seniors, persons with mental and physical disabilities, and youth aging out of foster care</w:t>
            </w:r>
            <w:r>
              <w:t>, by removing this 90-mile proximity requirement and instead establishing a uniform residence requirement for all developments.</w:t>
            </w:r>
          </w:p>
          <w:p w14:paraId="61AAD0F9" w14:textId="77777777" w:rsidR="008423E4" w:rsidRPr="00E26B13" w:rsidRDefault="008423E4" w:rsidP="00E76A46">
            <w:pPr>
              <w:rPr>
                <w:b/>
              </w:rPr>
            </w:pPr>
          </w:p>
        </w:tc>
      </w:tr>
      <w:tr w:rsidR="00DF298C" w14:paraId="04FEF891" w14:textId="77777777" w:rsidTr="00DD245E">
        <w:tc>
          <w:tcPr>
            <w:tcW w:w="9360" w:type="dxa"/>
          </w:tcPr>
          <w:p w14:paraId="6B06B296" w14:textId="77777777" w:rsidR="0017725B" w:rsidRDefault="00C463F7" w:rsidP="00E76A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AFE1D33" w14:textId="77777777" w:rsidR="0017725B" w:rsidRDefault="0017725B" w:rsidP="00E76A46">
            <w:pPr>
              <w:rPr>
                <w:b/>
                <w:u w:val="single"/>
              </w:rPr>
            </w:pPr>
          </w:p>
          <w:p w14:paraId="01B31F59" w14:textId="77777777" w:rsidR="006D2BDF" w:rsidRPr="006D2BDF" w:rsidRDefault="00C463F7" w:rsidP="00E76A46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FC64983" w14:textId="77777777" w:rsidR="0017725B" w:rsidRPr="0017725B" w:rsidRDefault="0017725B" w:rsidP="00E76A46">
            <w:pPr>
              <w:rPr>
                <w:b/>
                <w:u w:val="single"/>
              </w:rPr>
            </w:pPr>
          </w:p>
        </w:tc>
      </w:tr>
      <w:tr w:rsidR="00DF298C" w14:paraId="3B74F7F2" w14:textId="77777777" w:rsidTr="00DD245E">
        <w:tc>
          <w:tcPr>
            <w:tcW w:w="9360" w:type="dxa"/>
          </w:tcPr>
          <w:p w14:paraId="44929237" w14:textId="77777777" w:rsidR="008423E4" w:rsidRPr="00A8133F" w:rsidRDefault="00C463F7" w:rsidP="00E76A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6002305" w14:textId="77777777" w:rsidR="008423E4" w:rsidRDefault="008423E4" w:rsidP="00E76A46"/>
          <w:p w14:paraId="0E4C44E5" w14:textId="77777777" w:rsidR="006D2BDF" w:rsidRDefault="00C463F7" w:rsidP="00E76A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14:paraId="1EFBC302" w14:textId="77777777" w:rsidR="008423E4" w:rsidRPr="00E21FDC" w:rsidRDefault="008423E4" w:rsidP="00E76A46">
            <w:pPr>
              <w:rPr>
                <w:b/>
              </w:rPr>
            </w:pPr>
          </w:p>
        </w:tc>
      </w:tr>
      <w:tr w:rsidR="00DF298C" w14:paraId="066254D3" w14:textId="77777777" w:rsidTr="00DD245E">
        <w:tc>
          <w:tcPr>
            <w:tcW w:w="9360" w:type="dxa"/>
          </w:tcPr>
          <w:p w14:paraId="1158DF0D" w14:textId="77777777" w:rsidR="008423E4" w:rsidRPr="00A8133F" w:rsidRDefault="00C463F7" w:rsidP="00E76A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971AAED" w14:textId="77777777" w:rsidR="008423E4" w:rsidRDefault="008423E4" w:rsidP="00E76A46"/>
          <w:p w14:paraId="38B6F83A" w14:textId="6B95BF21" w:rsidR="009C36CD" w:rsidRDefault="00C463F7" w:rsidP="00E76A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D2BDF">
              <w:t xml:space="preserve">H.B. 249 amends the </w:t>
            </w:r>
            <w:r w:rsidR="006D2BDF" w:rsidRPr="006D2BDF">
              <w:t>Government Code</w:t>
            </w:r>
            <w:r w:rsidR="006D2BDF">
              <w:t xml:space="preserve"> to </w:t>
            </w:r>
            <w:r w:rsidR="005F2159">
              <w:t>e</w:t>
            </w:r>
            <w:r w:rsidR="00197C19">
              <w:t>stablish uniform</w:t>
            </w:r>
            <w:r w:rsidR="005F2159">
              <w:t xml:space="preserve"> </w:t>
            </w:r>
            <w:r w:rsidR="00A4734A">
              <w:t>residency requirements</w:t>
            </w:r>
            <w:r w:rsidR="009B448A">
              <w:t xml:space="preserve"> for</w:t>
            </w:r>
            <w:r w:rsidR="004A6F5D">
              <w:t xml:space="preserve"> members of a nonprofit organization's board of directors</w:t>
            </w:r>
            <w:r>
              <w:t xml:space="preserve"> </w:t>
            </w:r>
            <w:r w:rsidR="006D2BDF">
              <w:t>appl</w:t>
            </w:r>
            <w:r w:rsidR="009B698B">
              <w:t>ying</w:t>
            </w:r>
            <w:r w:rsidR="006D2BDF">
              <w:t xml:space="preserve"> for </w:t>
            </w:r>
            <w:r w:rsidR="006D2BDF" w:rsidRPr="006D2BDF">
              <w:t>a</w:t>
            </w:r>
            <w:r w:rsidR="00CE0EBC">
              <w:t xml:space="preserve"> low income</w:t>
            </w:r>
            <w:r w:rsidR="006D2BDF" w:rsidRPr="006D2BDF">
              <w:t xml:space="preserve"> housing tax credit allocation from the nonprofit set-aside</w:t>
            </w:r>
            <w:r>
              <w:t xml:space="preserve"> </w:t>
            </w:r>
            <w:r w:rsidR="009B698B">
              <w:t>for</w:t>
            </w:r>
            <w:r w:rsidR="009B698B" w:rsidRPr="00A4734A">
              <w:t xml:space="preserve"> </w:t>
            </w:r>
            <w:r w:rsidR="009B698B">
              <w:t>a</w:t>
            </w:r>
            <w:r w:rsidR="009B698B" w:rsidRPr="00A4734A">
              <w:t xml:space="preserve"> development</w:t>
            </w:r>
            <w:r w:rsidR="00E12A72">
              <w:t>, irrespective to the location of the development,</w:t>
            </w:r>
            <w:r w:rsidR="00197C19">
              <w:t xml:space="preserve"> </w:t>
            </w:r>
            <w:r w:rsidR="005F2159">
              <w:t>by doing the following:</w:t>
            </w:r>
          </w:p>
          <w:p w14:paraId="559071C6" w14:textId="1FCC6046" w:rsidR="00197C19" w:rsidRDefault="00C463F7" w:rsidP="00E76A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E12A72">
              <w:t xml:space="preserve">removing the requirement that a majority of board members live </w:t>
            </w:r>
            <w:r w:rsidR="00DD245E">
              <w:t>not more than 90 miles</w:t>
            </w:r>
            <w:r w:rsidRPr="00E12A72">
              <w:t xml:space="preserve"> from a development that is not located in a rural area</w:t>
            </w:r>
            <w:r w:rsidR="006D2BDF">
              <w:t>;</w:t>
            </w:r>
            <w:r>
              <w:t xml:space="preserve"> and</w:t>
            </w:r>
            <w:r w:rsidR="006D2BDF">
              <w:t xml:space="preserve"> </w:t>
            </w:r>
          </w:p>
          <w:p w14:paraId="5E5D9067" w14:textId="7E962116" w:rsidR="006D2BDF" w:rsidRDefault="00C463F7" w:rsidP="00E76A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requiring instead a majority of board members simply principally reside somewhere in Texas, as is the current</w:t>
            </w:r>
            <w:r>
              <w:t xml:space="preserve"> standard for a development located in a rural area.</w:t>
            </w:r>
          </w:p>
          <w:p w14:paraId="1BC241C8" w14:textId="5816E720" w:rsidR="00E76A46" w:rsidRPr="00DD2DCE" w:rsidRDefault="00C463F7" w:rsidP="00DD2D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bill's provisions apply only to an application </w:t>
            </w:r>
            <w:r w:rsidR="00C47810" w:rsidRPr="00C47810">
              <w:t xml:space="preserve">that is submitted to the Texas Department of Housing and Community Affairs </w:t>
            </w:r>
            <w:r w:rsidR="00C47810">
              <w:t>(</w:t>
            </w:r>
            <w:r w:rsidR="00C47810" w:rsidRPr="00C47810">
              <w:t>TDHCA</w:t>
            </w:r>
            <w:r w:rsidR="00C47810">
              <w:t xml:space="preserve">) </w:t>
            </w:r>
            <w:r w:rsidR="00C47810" w:rsidRPr="00C47810">
              <w:t>during an application cycle that is based on the 2022 qualified allocation plan or a subsequent plan</w:t>
            </w:r>
            <w:r w:rsidR="00C47810">
              <w:t xml:space="preserve"> adopted by the TDHCA. </w:t>
            </w:r>
          </w:p>
        </w:tc>
      </w:tr>
      <w:tr w:rsidR="00DF298C" w14:paraId="697B66E2" w14:textId="77777777" w:rsidTr="00DD245E">
        <w:tc>
          <w:tcPr>
            <w:tcW w:w="9360" w:type="dxa"/>
          </w:tcPr>
          <w:p w14:paraId="055CDADA" w14:textId="77777777" w:rsidR="008423E4" w:rsidRPr="00A8133F" w:rsidRDefault="00C463F7" w:rsidP="00E76A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6449983" w14:textId="77777777" w:rsidR="008423E4" w:rsidRDefault="008423E4" w:rsidP="00E76A46"/>
          <w:p w14:paraId="20C218E6" w14:textId="77777777" w:rsidR="008423E4" w:rsidRPr="003624F2" w:rsidRDefault="00C463F7" w:rsidP="00E76A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141EF05" w14:textId="77777777" w:rsidR="008423E4" w:rsidRPr="00233FDB" w:rsidRDefault="008423E4" w:rsidP="00E76A46">
            <w:pPr>
              <w:rPr>
                <w:b/>
              </w:rPr>
            </w:pPr>
          </w:p>
        </w:tc>
      </w:tr>
      <w:tr w:rsidR="00DF298C" w14:paraId="1FBA0B00" w14:textId="77777777" w:rsidTr="00DD245E">
        <w:trPr>
          <w:trHeight w:val="5220"/>
        </w:trPr>
        <w:tc>
          <w:tcPr>
            <w:tcW w:w="9360" w:type="dxa"/>
          </w:tcPr>
          <w:p w14:paraId="233D2E6A" w14:textId="77777777" w:rsidR="005D1C3B" w:rsidRDefault="00C463F7" w:rsidP="00E76A4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F376AD8" w14:textId="77777777" w:rsidR="00073500" w:rsidRDefault="00073500" w:rsidP="00E76A46">
            <w:pPr>
              <w:jc w:val="both"/>
            </w:pPr>
          </w:p>
          <w:p w14:paraId="2DB4F2C2" w14:textId="711246FA" w:rsidR="00073500" w:rsidRDefault="00C463F7" w:rsidP="00E76A46">
            <w:pPr>
              <w:jc w:val="both"/>
            </w:pPr>
            <w:r>
              <w:t xml:space="preserve">While C.S.H.B. 249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14:paraId="6539E086" w14:textId="2D386103" w:rsidR="00073500" w:rsidRDefault="00073500" w:rsidP="00E76A46">
            <w:pPr>
              <w:jc w:val="both"/>
            </w:pPr>
          </w:p>
          <w:p w14:paraId="6C9809BA" w14:textId="305B4A07" w:rsidR="0005424C" w:rsidRPr="00073500" w:rsidRDefault="00C463F7" w:rsidP="00E76A46">
            <w:pPr>
              <w:jc w:val="both"/>
            </w:pPr>
            <w:r>
              <w:t xml:space="preserve">The substitute does not </w:t>
            </w:r>
            <w:r w:rsidR="00545B60">
              <w:t xml:space="preserve">entirely </w:t>
            </w:r>
            <w:r>
              <w:t xml:space="preserve">remove </w:t>
            </w:r>
            <w:r w:rsidR="00545B60">
              <w:t>in-state residency requirements for the board members of an organization</w:t>
            </w:r>
            <w:r>
              <w:t xml:space="preserve"> appl</w:t>
            </w:r>
            <w:r w:rsidR="00545B60">
              <w:t>ying</w:t>
            </w:r>
            <w:r>
              <w:t xml:space="preserve"> </w:t>
            </w:r>
            <w:r w:rsidRPr="0005424C">
              <w:t>for a low income housing tax credit allocation from</w:t>
            </w:r>
            <w:r w:rsidRPr="0005424C">
              <w:t xml:space="preserve"> the nonprofit set-aside</w:t>
            </w:r>
            <w:r w:rsidR="00DD245E">
              <w:t xml:space="preserve"> as in the original</w:t>
            </w:r>
            <w:r w:rsidR="00545B60">
              <w:t xml:space="preserve">. The substitute instead revises the requirements to establish </w:t>
            </w:r>
            <w:r w:rsidR="00E12A72">
              <w:t xml:space="preserve">uniform </w:t>
            </w:r>
            <w:r w:rsidR="00545B60">
              <w:t>residency</w:t>
            </w:r>
            <w:r w:rsidR="00E12A72">
              <w:t xml:space="preserve"> requirements</w:t>
            </w:r>
            <w:r w:rsidR="00545B60">
              <w:t>, irrespective of where the project is located in Texas</w:t>
            </w:r>
            <w:r w:rsidR="00DD245E">
              <w:t>.</w:t>
            </w:r>
          </w:p>
        </w:tc>
      </w:tr>
    </w:tbl>
    <w:p w14:paraId="751F0B32" w14:textId="54724063" w:rsidR="004108C3" w:rsidRPr="008423E4" w:rsidRDefault="004108C3" w:rsidP="00E76A46">
      <w:pPr>
        <w:tabs>
          <w:tab w:val="left" w:pos="2520"/>
        </w:tabs>
      </w:pPr>
    </w:p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9B9E" w14:textId="77777777" w:rsidR="00000000" w:rsidRDefault="00C463F7">
      <w:r>
        <w:separator/>
      </w:r>
    </w:p>
  </w:endnote>
  <w:endnote w:type="continuationSeparator" w:id="0">
    <w:p w14:paraId="4A5255F1" w14:textId="77777777" w:rsidR="00000000" w:rsidRDefault="00C4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584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298C" w14:paraId="7249C30C" w14:textId="77777777" w:rsidTr="009C1E9A">
      <w:trPr>
        <w:cantSplit/>
      </w:trPr>
      <w:tc>
        <w:tcPr>
          <w:tcW w:w="0" w:type="pct"/>
        </w:tcPr>
        <w:p w14:paraId="5F7F41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1175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DC070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064C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8A6CE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298C" w14:paraId="2C496E35" w14:textId="77777777" w:rsidTr="009C1E9A">
      <w:trPr>
        <w:cantSplit/>
      </w:trPr>
      <w:tc>
        <w:tcPr>
          <w:tcW w:w="0" w:type="pct"/>
        </w:tcPr>
        <w:p w14:paraId="12CC9DF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D406AF" w14:textId="0C62A608" w:rsidR="00EC379B" w:rsidRPr="009C1E9A" w:rsidRDefault="00C463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18332</w:t>
          </w:r>
        </w:p>
      </w:tc>
      <w:tc>
        <w:tcPr>
          <w:tcW w:w="2453" w:type="pct"/>
        </w:tcPr>
        <w:p w14:paraId="37114323" w14:textId="55CA3970" w:rsidR="00EC379B" w:rsidRDefault="00C463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5629F">
            <w:t>21.95.934</w:t>
          </w:r>
          <w:r>
            <w:fldChar w:fldCharType="end"/>
          </w:r>
        </w:p>
      </w:tc>
    </w:tr>
    <w:tr w:rsidR="00DF298C" w14:paraId="1497CF3A" w14:textId="77777777" w:rsidTr="009C1E9A">
      <w:trPr>
        <w:cantSplit/>
      </w:trPr>
      <w:tc>
        <w:tcPr>
          <w:tcW w:w="0" w:type="pct"/>
        </w:tcPr>
        <w:p w14:paraId="1815AE9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2D78756" w14:textId="654CA2F4" w:rsidR="00EC379B" w:rsidRPr="009C1E9A" w:rsidRDefault="00C463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13989</w:t>
          </w:r>
        </w:p>
      </w:tc>
      <w:tc>
        <w:tcPr>
          <w:tcW w:w="2453" w:type="pct"/>
        </w:tcPr>
        <w:p w14:paraId="716FB5B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9B5E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298C" w14:paraId="057BE49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EF5AA35" w14:textId="15F57F5C" w:rsidR="00EC379B" w:rsidRDefault="00C463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6AB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18F67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CFC93D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90D3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AFCA" w14:textId="77777777" w:rsidR="00000000" w:rsidRDefault="00C463F7">
      <w:r>
        <w:separator/>
      </w:r>
    </w:p>
  </w:footnote>
  <w:footnote w:type="continuationSeparator" w:id="0">
    <w:p w14:paraId="1200B156" w14:textId="77777777" w:rsidR="00000000" w:rsidRDefault="00C4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182B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37A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3255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66FC"/>
    <w:multiLevelType w:val="hybridMultilevel"/>
    <w:tmpl w:val="4CF49238"/>
    <w:lvl w:ilvl="0" w:tplc="0F58F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05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0F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26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AC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C7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E1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C3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A7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02339"/>
    <w:multiLevelType w:val="hybridMultilevel"/>
    <w:tmpl w:val="ECC6103C"/>
    <w:lvl w:ilvl="0" w:tplc="7D0CB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6B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BCF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85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69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20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87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0A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89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2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24C"/>
    <w:rsid w:val="00055C12"/>
    <w:rsid w:val="000608B0"/>
    <w:rsid w:val="0006104C"/>
    <w:rsid w:val="00064BF2"/>
    <w:rsid w:val="000654EC"/>
    <w:rsid w:val="000667BA"/>
    <w:rsid w:val="000676A7"/>
    <w:rsid w:val="00073500"/>
    <w:rsid w:val="00073914"/>
    <w:rsid w:val="00074236"/>
    <w:rsid w:val="000746BD"/>
    <w:rsid w:val="0007518C"/>
    <w:rsid w:val="00076D7D"/>
    <w:rsid w:val="00080D95"/>
    <w:rsid w:val="0009072E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410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C19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CF3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AB8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389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BA9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016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4722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8B3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606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F5D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394"/>
    <w:rsid w:val="00541B98"/>
    <w:rsid w:val="00543374"/>
    <w:rsid w:val="00545548"/>
    <w:rsid w:val="00545B60"/>
    <w:rsid w:val="00546923"/>
    <w:rsid w:val="00546D2D"/>
    <w:rsid w:val="00547FBE"/>
    <w:rsid w:val="00551CA6"/>
    <w:rsid w:val="00555034"/>
    <w:rsid w:val="0055629F"/>
    <w:rsid w:val="005570D2"/>
    <w:rsid w:val="0056153F"/>
    <w:rsid w:val="00561A10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1C3B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159"/>
    <w:rsid w:val="005F281C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085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BDF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0B9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5D77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269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DFC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48A"/>
    <w:rsid w:val="009B5069"/>
    <w:rsid w:val="009B698B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070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C64"/>
    <w:rsid w:val="00A35D66"/>
    <w:rsid w:val="00A41085"/>
    <w:rsid w:val="00A425FA"/>
    <w:rsid w:val="00A43960"/>
    <w:rsid w:val="00A46902"/>
    <w:rsid w:val="00A4734A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0FE"/>
    <w:rsid w:val="00A932BB"/>
    <w:rsid w:val="00A93579"/>
    <w:rsid w:val="00A93934"/>
    <w:rsid w:val="00A95D51"/>
    <w:rsid w:val="00AA18AE"/>
    <w:rsid w:val="00AA1B7D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CC0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3F7"/>
    <w:rsid w:val="00C4710D"/>
    <w:rsid w:val="00C47810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0EBC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EB5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08B"/>
    <w:rsid w:val="00D90D0E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45E"/>
    <w:rsid w:val="00DD2DCE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298C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A72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6A46"/>
    <w:rsid w:val="00E77353"/>
    <w:rsid w:val="00E775AE"/>
    <w:rsid w:val="00E8272C"/>
    <w:rsid w:val="00E827C7"/>
    <w:rsid w:val="00E85DBD"/>
    <w:rsid w:val="00E86CD0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1398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D1E"/>
    <w:rsid w:val="00FC5388"/>
    <w:rsid w:val="00FC726C"/>
    <w:rsid w:val="00FD1B4B"/>
    <w:rsid w:val="00FD1B94"/>
    <w:rsid w:val="00FE19C5"/>
    <w:rsid w:val="00FE1DD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E2EE71-7657-434E-9A7C-2B8D5C56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2B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2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2B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2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2BDF"/>
    <w:rPr>
      <w:b/>
      <w:bCs/>
    </w:rPr>
  </w:style>
  <w:style w:type="paragraph" w:styleId="ListParagraph">
    <w:name w:val="List Paragraph"/>
    <w:basedOn w:val="Normal"/>
    <w:uiPriority w:val="34"/>
    <w:qFormat/>
    <w:rsid w:val="0005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2944</Characters>
  <Application>Microsoft Office Word</Application>
  <DocSecurity>4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HB00249 (Committee Report (Substituted))</vt:lpstr>
    </vt:vector>
  </TitlesOfParts>
  <Company>State of Texas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18332</dc:subject>
  <dc:creator>State of Texas</dc:creator>
  <dc:description>HB 249 by Cortez-(H)Urban Affairs (Substitute Document Number: 87R 13989)</dc:description>
  <cp:lastModifiedBy>Lauren Bustamente</cp:lastModifiedBy>
  <cp:revision>2</cp:revision>
  <cp:lastPrinted>2003-11-26T17:21:00Z</cp:lastPrinted>
  <dcterms:created xsi:type="dcterms:W3CDTF">2021-04-08T20:42:00Z</dcterms:created>
  <dcterms:modified xsi:type="dcterms:W3CDTF">2021-04-08T20:42:00Z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21.95.934</vt:lpwstr>
  </property>
</Properties>
</file>