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A75BB" w14:paraId="4D9092CC" w14:textId="77777777" w:rsidTr="00345119">
        <w:tc>
          <w:tcPr>
            <w:tcW w:w="9576" w:type="dxa"/>
            <w:noWrap/>
          </w:tcPr>
          <w:p w14:paraId="6E264777" w14:textId="77777777" w:rsidR="008423E4" w:rsidRPr="0022177D" w:rsidRDefault="00C545BE" w:rsidP="00364A11">
            <w:pPr>
              <w:pStyle w:val="Heading1"/>
            </w:pPr>
            <w:bookmarkStart w:id="0" w:name="_GoBack"/>
            <w:bookmarkEnd w:id="0"/>
            <w:r w:rsidRPr="00631897">
              <w:t>BILL ANALYSIS</w:t>
            </w:r>
          </w:p>
        </w:tc>
      </w:tr>
    </w:tbl>
    <w:p w14:paraId="3E5C7726" w14:textId="77777777" w:rsidR="008423E4" w:rsidRPr="0022177D" w:rsidRDefault="008423E4" w:rsidP="00364A11">
      <w:pPr>
        <w:jc w:val="center"/>
      </w:pPr>
    </w:p>
    <w:p w14:paraId="7C53BAE0" w14:textId="77777777" w:rsidR="008423E4" w:rsidRPr="00B31F0E" w:rsidRDefault="008423E4" w:rsidP="00364A11"/>
    <w:p w14:paraId="33352DEB" w14:textId="77777777" w:rsidR="008423E4" w:rsidRPr="00742794" w:rsidRDefault="008423E4" w:rsidP="00364A11">
      <w:pPr>
        <w:tabs>
          <w:tab w:val="right" w:pos="9360"/>
        </w:tabs>
      </w:pPr>
    </w:p>
    <w:tbl>
      <w:tblPr>
        <w:tblW w:w="0" w:type="auto"/>
        <w:tblLayout w:type="fixed"/>
        <w:tblLook w:val="01E0" w:firstRow="1" w:lastRow="1" w:firstColumn="1" w:lastColumn="1" w:noHBand="0" w:noVBand="0"/>
      </w:tblPr>
      <w:tblGrid>
        <w:gridCol w:w="9576"/>
      </w:tblGrid>
      <w:tr w:rsidR="000A75BB" w14:paraId="2735B4DC" w14:textId="77777777" w:rsidTr="00345119">
        <w:tc>
          <w:tcPr>
            <w:tcW w:w="9576" w:type="dxa"/>
          </w:tcPr>
          <w:p w14:paraId="1A2F64AB" w14:textId="03ED9DCE" w:rsidR="008423E4" w:rsidRPr="00861995" w:rsidRDefault="00C545BE" w:rsidP="00364A11">
            <w:pPr>
              <w:jc w:val="right"/>
            </w:pPr>
            <w:r>
              <w:t>C.S.H.B. 298</w:t>
            </w:r>
          </w:p>
        </w:tc>
      </w:tr>
      <w:tr w:rsidR="000A75BB" w14:paraId="02874FA7" w14:textId="77777777" w:rsidTr="00345119">
        <w:tc>
          <w:tcPr>
            <w:tcW w:w="9576" w:type="dxa"/>
          </w:tcPr>
          <w:p w14:paraId="5268335D" w14:textId="7548DAC6" w:rsidR="008423E4" w:rsidRPr="00861995" w:rsidRDefault="00C545BE" w:rsidP="00364A11">
            <w:pPr>
              <w:jc w:val="right"/>
            </w:pPr>
            <w:r>
              <w:t xml:space="preserve">By: </w:t>
            </w:r>
            <w:r w:rsidR="00824D09">
              <w:t>Zwiener</w:t>
            </w:r>
          </w:p>
        </w:tc>
      </w:tr>
      <w:tr w:rsidR="000A75BB" w14:paraId="666599EC" w14:textId="77777777" w:rsidTr="00345119">
        <w:tc>
          <w:tcPr>
            <w:tcW w:w="9576" w:type="dxa"/>
          </w:tcPr>
          <w:p w14:paraId="1C077D7B" w14:textId="1FF96BF3" w:rsidR="008423E4" w:rsidRPr="00861995" w:rsidRDefault="00C545BE" w:rsidP="00364A11">
            <w:pPr>
              <w:jc w:val="right"/>
            </w:pPr>
            <w:r>
              <w:t>Urban Affairs</w:t>
            </w:r>
          </w:p>
        </w:tc>
      </w:tr>
      <w:tr w:rsidR="000A75BB" w14:paraId="338509D3" w14:textId="77777777" w:rsidTr="00345119">
        <w:tc>
          <w:tcPr>
            <w:tcW w:w="9576" w:type="dxa"/>
          </w:tcPr>
          <w:p w14:paraId="62CED317" w14:textId="4B6053BF" w:rsidR="008423E4" w:rsidRDefault="00C545BE" w:rsidP="00364A11">
            <w:pPr>
              <w:jc w:val="right"/>
            </w:pPr>
            <w:r>
              <w:t>Committee Report (Substituted)</w:t>
            </w:r>
          </w:p>
        </w:tc>
      </w:tr>
    </w:tbl>
    <w:p w14:paraId="11D6AFC8" w14:textId="77777777" w:rsidR="008423E4" w:rsidRDefault="008423E4" w:rsidP="00364A11">
      <w:pPr>
        <w:tabs>
          <w:tab w:val="right" w:pos="9360"/>
        </w:tabs>
      </w:pPr>
    </w:p>
    <w:p w14:paraId="7422541C" w14:textId="77777777" w:rsidR="008423E4" w:rsidRDefault="008423E4" w:rsidP="00364A11"/>
    <w:p w14:paraId="6401A8CF" w14:textId="77777777" w:rsidR="008423E4" w:rsidRDefault="008423E4" w:rsidP="00364A11"/>
    <w:tbl>
      <w:tblPr>
        <w:tblW w:w="0" w:type="auto"/>
        <w:tblCellMar>
          <w:left w:w="115" w:type="dxa"/>
          <w:right w:w="115" w:type="dxa"/>
        </w:tblCellMar>
        <w:tblLook w:val="01E0" w:firstRow="1" w:lastRow="1" w:firstColumn="1" w:lastColumn="1" w:noHBand="0" w:noVBand="0"/>
      </w:tblPr>
      <w:tblGrid>
        <w:gridCol w:w="9360"/>
      </w:tblGrid>
      <w:tr w:rsidR="000A75BB" w14:paraId="6714AC8D" w14:textId="77777777" w:rsidTr="00345119">
        <w:tc>
          <w:tcPr>
            <w:tcW w:w="9576" w:type="dxa"/>
          </w:tcPr>
          <w:p w14:paraId="2EB60A1B" w14:textId="77777777" w:rsidR="008423E4" w:rsidRPr="00A8133F" w:rsidRDefault="00C545BE" w:rsidP="00364A11">
            <w:pPr>
              <w:rPr>
                <w:b/>
              </w:rPr>
            </w:pPr>
            <w:r w:rsidRPr="009C1E9A">
              <w:rPr>
                <w:b/>
                <w:u w:val="single"/>
              </w:rPr>
              <w:t>BACKGROUND AND PURPOSE</w:t>
            </w:r>
            <w:r>
              <w:rPr>
                <w:b/>
              </w:rPr>
              <w:t xml:space="preserve"> </w:t>
            </w:r>
          </w:p>
          <w:p w14:paraId="18AE7FC8" w14:textId="77777777" w:rsidR="008423E4" w:rsidRDefault="008423E4" w:rsidP="00364A11"/>
          <w:p w14:paraId="07FF0516" w14:textId="13016D39" w:rsidR="00534D3E" w:rsidRDefault="00C545BE" w:rsidP="00364A11">
            <w:pPr>
              <w:pStyle w:val="Header"/>
              <w:tabs>
                <w:tab w:val="clear" w:pos="4320"/>
                <w:tab w:val="clear" w:pos="8640"/>
              </w:tabs>
              <w:jc w:val="both"/>
            </w:pPr>
            <w:r w:rsidRPr="00534D3E">
              <w:t xml:space="preserve">Currently, </w:t>
            </w:r>
            <w:r w:rsidR="00EA56DC">
              <w:t>certain municipalities</w:t>
            </w:r>
            <w:r w:rsidRPr="00534D3E">
              <w:t xml:space="preserve"> may regulate outdoor lighting within </w:t>
            </w:r>
            <w:r w:rsidR="00EA56DC">
              <w:t>municipal</w:t>
            </w:r>
            <w:r w:rsidRPr="00534D3E">
              <w:t xml:space="preserve"> limits. </w:t>
            </w:r>
            <w:r w:rsidR="00EA56DC">
              <w:t>In addition to</w:t>
            </w:r>
            <w:r w:rsidR="007F648E">
              <w:t xml:space="preserve"> providing</w:t>
            </w:r>
            <w:r w:rsidR="00EA56DC">
              <w:t xml:space="preserve"> environmental benefits, this </w:t>
            </w:r>
            <w:r w:rsidR="000F0A75">
              <w:t>regulation also</w:t>
            </w:r>
            <w:r w:rsidRPr="00534D3E">
              <w:t xml:space="preserve"> benefi</w:t>
            </w:r>
            <w:r w:rsidR="000F0A75">
              <w:t>ts</w:t>
            </w:r>
            <w:r w:rsidRPr="00534D3E">
              <w:t xml:space="preserve"> communities</w:t>
            </w:r>
            <w:r w:rsidR="007F648E">
              <w:t>,</w:t>
            </w:r>
            <w:r w:rsidRPr="00534D3E">
              <w:t xml:space="preserve"> </w:t>
            </w:r>
            <w:r w:rsidR="000F0A75">
              <w:t>as</w:t>
            </w:r>
            <w:r w:rsidRPr="00534D3E">
              <w:t xml:space="preserve"> light pollution can contribute to human health issues such as obesity, depression, and sleep disorders. </w:t>
            </w:r>
            <w:r w:rsidR="000F0A75">
              <w:t>However, t</w:t>
            </w:r>
            <w:r w:rsidRPr="00534D3E">
              <w:t xml:space="preserve">his </w:t>
            </w:r>
            <w:r w:rsidR="000F0A75">
              <w:t xml:space="preserve">regulation </w:t>
            </w:r>
            <w:r w:rsidRPr="00534D3E">
              <w:t xml:space="preserve">does not extend to </w:t>
            </w:r>
            <w:r w:rsidR="000F0A75">
              <w:t>a municipality's</w:t>
            </w:r>
            <w:r w:rsidRPr="00534D3E">
              <w:t xml:space="preserve"> extraterritorial jur</w:t>
            </w:r>
            <w:r w:rsidRPr="00534D3E">
              <w:t xml:space="preserve">isdiction. When a </w:t>
            </w:r>
            <w:r w:rsidR="000F0A75">
              <w:t>municipality's</w:t>
            </w:r>
            <w:r w:rsidRPr="00534D3E">
              <w:t xml:space="preserve"> extraterritorial jurisdiction is significantly larger than</w:t>
            </w:r>
            <w:r w:rsidR="00711107">
              <w:t xml:space="preserve"> the</w:t>
            </w:r>
            <w:r w:rsidRPr="00534D3E">
              <w:t xml:space="preserve"> </w:t>
            </w:r>
            <w:r w:rsidR="000F0A75">
              <w:t>municipality</w:t>
            </w:r>
            <w:r w:rsidR="00711107">
              <w:t xml:space="preserve"> itself</w:t>
            </w:r>
            <w:r w:rsidR="001A0C8C">
              <w:t>,</w:t>
            </w:r>
            <w:r w:rsidRPr="00534D3E">
              <w:t xml:space="preserve"> </w:t>
            </w:r>
            <w:r w:rsidR="001A0C8C">
              <w:t xml:space="preserve">its ability </w:t>
            </w:r>
            <w:r w:rsidRPr="00534D3E">
              <w:t xml:space="preserve">to preserve dark skies </w:t>
            </w:r>
            <w:r w:rsidR="001A0C8C">
              <w:t>can be limited</w:t>
            </w:r>
            <w:r w:rsidRPr="00534D3E">
              <w:t>.</w:t>
            </w:r>
            <w:r w:rsidR="00711107">
              <w:t xml:space="preserve"> </w:t>
            </w:r>
            <w:r w:rsidR="000F0A75">
              <w:t>C.S.H.B. 298 seeks to address these concerns by providing for outdoor lighting regulation</w:t>
            </w:r>
            <w:r w:rsidR="00711107">
              <w:t xml:space="preserve"> </w:t>
            </w:r>
            <w:r w:rsidR="000F0A75">
              <w:t xml:space="preserve">by a </w:t>
            </w:r>
            <w:r w:rsidR="000F0A75" w:rsidRPr="000F0A75">
              <w:t>municipality that has received an International Dark Sky Community designation</w:t>
            </w:r>
            <w:r w:rsidR="00711107">
              <w:t>.</w:t>
            </w:r>
          </w:p>
          <w:p w14:paraId="48FB2DB1" w14:textId="77777777" w:rsidR="008423E4" w:rsidRPr="00E26B13" w:rsidRDefault="008423E4" w:rsidP="00364A11">
            <w:pPr>
              <w:rPr>
                <w:b/>
              </w:rPr>
            </w:pPr>
          </w:p>
        </w:tc>
      </w:tr>
      <w:tr w:rsidR="000A75BB" w14:paraId="7ADDE30C" w14:textId="77777777" w:rsidTr="00345119">
        <w:tc>
          <w:tcPr>
            <w:tcW w:w="9576" w:type="dxa"/>
          </w:tcPr>
          <w:p w14:paraId="1F2C817B" w14:textId="77777777" w:rsidR="0017725B" w:rsidRDefault="00C545BE" w:rsidP="00364A11">
            <w:pPr>
              <w:rPr>
                <w:b/>
                <w:u w:val="single"/>
              </w:rPr>
            </w:pPr>
            <w:r>
              <w:rPr>
                <w:b/>
                <w:u w:val="single"/>
              </w:rPr>
              <w:t>CRIMINAL JUSTICE IMPACT</w:t>
            </w:r>
          </w:p>
          <w:p w14:paraId="09700083" w14:textId="77777777" w:rsidR="0017725B" w:rsidRDefault="0017725B" w:rsidP="00364A11">
            <w:pPr>
              <w:rPr>
                <w:b/>
                <w:u w:val="single"/>
              </w:rPr>
            </w:pPr>
          </w:p>
          <w:p w14:paraId="28D0573E" w14:textId="3A04D939" w:rsidR="00940185" w:rsidRPr="00940185" w:rsidRDefault="00C545BE" w:rsidP="00364A11">
            <w:pPr>
              <w:jc w:val="both"/>
            </w:pPr>
            <w:r>
              <w:t xml:space="preserve">It is the committee's opinion that this bill does not expressly create a criminal offense, increase the punishment for an existing criminal </w:t>
            </w:r>
            <w:r>
              <w:t>offense or category of offenses, or change the eligibility of a person for community supervision, parole, or mandatory supervision.</w:t>
            </w:r>
          </w:p>
          <w:p w14:paraId="5BAF9B19" w14:textId="77777777" w:rsidR="0017725B" w:rsidRPr="0017725B" w:rsidRDefault="0017725B" w:rsidP="00364A11">
            <w:pPr>
              <w:rPr>
                <w:b/>
                <w:u w:val="single"/>
              </w:rPr>
            </w:pPr>
          </w:p>
        </w:tc>
      </w:tr>
      <w:tr w:rsidR="000A75BB" w14:paraId="42DA4DD9" w14:textId="77777777" w:rsidTr="00345119">
        <w:tc>
          <w:tcPr>
            <w:tcW w:w="9576" w:type="dxa"/>
          </w:tcPr>
          <w:p w14:paraId="2D5C42D0" w14:textId="77777777" w:rsidR="008423E4" w:rsidRPr="00A8133F" w:rsidRDefault="00C545BE" w:rsidP="00364A11">
            <w:pPr>
              <w:rPr>
                <w:b/>
              </w:rPr>
            </w:pPr>
            <w:r w:rsidRPr="009C1E9A">
              <w:rPr>
                <w:b/>
                <w:u w:val="single"/>
              </w:rPr>
              <w:t>RULEMAKING AUTHORITY</w:t>
            </w:r>
            <w:r>
              <w:rPr>
                <w:b/>
              </w:rPr>
              <w:t xml:space="preserve"> </w:t>
            </w:r>
          </w:p>
          <w:p w14:paraId="477BFE5A" w14:textId="77777777" w:rsidR="008423E4" w:rsidRDefault="008423E4" w:rsidP="00364A11"/>
          <w:p w14:paraId="7AD9A5E6" w14:textId="77777777" w:rsidR="00940185" w:rsidRDefault="00C545BE" w:rsidP="00364A11">
            <w:pPr>
              <w:pStyle w:val="Header"/>
              <w:tabs>
                <w:tab w:val="clear" w:pos="4320"/>
                <w:tab w:val="clear" w:pos="8640"/>
              </w:tabs>
              <w:jc w:val="both"/>
            </w:pPr>
            <w:r>
              <w:t>It is the committee's opinion that this bill does not expressly grant any additional rulemaking aut</w:t>
            </w:r>
            <w:r>
              <w:t>hority to a state officer, department, agency, or institution.</w:t>
            </w:r>
          </w:p>
          <w:p w14:paraId="0ABE5547" w14:textId="77777777" w:rsidR="008423E4" w:rsidRPr="00E21FDC" w:rsidRDefault="008423E4" w:rsidP="00364A11">
            <w:pPr>
              <w:rPr>
                <w:b/>
              </w:rPr>
            </w:pPr>
          </w:p>
        </w:tc>
      </w:tr>
      <w:tr w:rsidR="000A75BB" w14:paraId="3C9D09D0" w14:textId="77777777" w:rsidTr="00345119">
        <w:tc>
          <w:tcPr>
            <w:tcW w:w="9576" w:type="dxa"/>
          </w:tcPr>
          <w:p w14:paraId="4BE95B7E" w14:textId="77777777" w:rsidR="008423E4" w:rsidRPr="00A8133F" w:rsidRDefault="00C545BE" w:rsidP="00364A11">
            <w:pPr>
              <w:rPr>
                <w:b/>
              </w:rPr>
            </w:pPr>
            <w:r w:rsidRPr="009C1E9A">
              <w:rPr>
                <w:b/>
                <w:u w:val="single"/>
              </w:rPr>
              <w:t>ANALYSIS</w:t>
            </w:r>
            <w:r>
              <w:rPr>
                <w:b/>
              </w:rPr>
              <w:t xml:space="preserve"> </w:t>
            </w:r>
          </w:p>
          <w:p w14:paraId="5267CC8F" w14:textId="77777777" w:rsidR="008423E4" w:rsidRDefault="008423E4" w:rsidP="00364A11"/>
          <w:p w14:paraId="4DFD6872" w14:textId="510DC653" w:rsidR="00B30EAA" w:rsidRDefault="00C545BE" w:rsidP="00364A11">
            <w:pPr>
              <w:pStyle w:val="Header"/>
              <w:tabs>
                <w:tab w:val="clear" w:pos="4320"/>
                <w:tab w:val="clear" w:pos="8640"/>
              </w:tabs>
              <w:jc w:val="both"/>
            </w:pPr>
            <w:r>
              <w:t>C.S.</w:t>
            </w:r>
            <w:r w:rsidR="0019138C">
              <w:t xml:space="preserve">H.B. 298 amends the </w:t>
            </w:r>
            <w:r w:rsidR="0019138C" w:rsidRPr="0019138C">
              <w:t>Local Government Code</w:t>
            </w:r>
            <w:r w:rsidR="0019138C">
              <w:t xml:space="preserve"> to authorize t</w:t>
            </w:r>
            <w:r w:rsidR="0019138C" w:rsidRPr="0019138C">
              <w:t>he governing body of a municipality that has received an International Dark Sky Commun</w:t>
            </w:r>
            <w:r w:rsidR="0019138C">
              <w:t>ity designation by ordinance to</w:t>
            </w:r>
            <w:r w:rsidR="0019138C" w:rsidRPr="0019138C">
              <w:t xml:space="preserve"> regulate the installation and use of outdoor lighting in the municipality and the municipality's extraterritorial jurisdiction.</w:t>
            </w:r>
            <w:r w:rsidR="0019138C">
              <w:t xml:space="preserve"> </w:t>
            </w:r>
            <w:r>
              <w:t>The bill prohibits an ordinance from requiring outdoor lighting constructed before the date the ordinance is adopted to be brou</w:t>
            </w:r>
            <w:r>
              <w:t>ght into compliance with the ordinance before the later of September 1, 2026, or the fifth anniversary of the date the ordinance is adopted.</w:t>
            </w:r>
            <w:r w:rsidR="0032538A">
              <w:t xml:space="preserve"> The bill prohibits </w:t>
            </w:r>
            <w:r>
              <w:t xml:space="preserve">an ordinance </w:t>
            </w:r>
            <w:r w:rsidR="0032538A">
              <w:t>from</w:t>
            </w:r>
            <w:r>
              <w:t xml:space="preserve"> apply</w:t>
            </w:r>
            <w:r w:rsidR="0032538A">
              <w:t>ing</w:t>
            </w:r>
            <w:r>
              <w:t xml:space="preserve"> to outdoor lighting that is</w:t>
            </w:r>
            <w:r w:rsidR="00124CCE">
              <w:t xml:space="preserve"> </w:t>
            </w:r>
            <w:r>
              <w:t>constructed before the date the ordinance</w:t>
            </w:r>
            <w:r>
              <w:t xml:space="preserve"> is adopted and</w:t>
            </w:r>
            <w:r w:rsidR="00124CCE">
              <w:t xml:space="preserve"> that</w:t>
            </w:r>
            <w:r w:rsidR="0032538A">
              <w:t xml:space="preserve"> is </w:t>
            </w:r>
            <w:r>
              <w:t>located on residential property with four or fewer dwelling units located in the</w:t>
            </w:r>
            <w:r w:rsidR="0032538A">
              <w:t xml:space="preserve"> municipality's</w:t>
            </w:r>
            <w:r>
              <w:t xml:space="preserve"> extraterritorial jurisdiction</w:t>
            </w:r>
            <w:r w:rsidR="0032538A">
              <w:t>, except that a</w:t>
            </w:r>
            <w:r>
              <w:t xml:space="preserve"> municipality may apply an ordinance to</w:t>
            </w:r>
            <w:r w:rsidR="0032538A">
              <w:t xml:space="preserve"> such</w:t>
            </w:r>
            <w:r>
              <w:t xml:space="preserve"> outdoor lighting that is part of a</w:t>
            </w:r>
            <w:r w:rsidR="0032538A">
              <w:t xml:space="preserve"> property's</w:t>
            </w:r>
            <w:r>
              <w:t xml:space="preserve"> r</w:t>
            </w:r>
            <w:r>
              <w:t>enovation.</w:t>
            </w:r>
          </w:p>
          <w:p w14:paraId="19324C4E" w14:textId="77777777" w:rsidR="00000224" w:rsidRDefault="00000224" w:rsidP="00364A11">
            <w:pPr>
              <w:pStyle w:val="Header"/>
              <w:tabs>
                <w:tab w:val="clear" w:pos="4320"/>
                <w:tab w:val="clear" w:pos="8640"/>
              </w:tabs>
              <w:jc w:val="both"/>
            </w:pPr>
          </w:p>
          <w:p w14:paraId="0464454F" w14:textId="77777777" w:rsidR="00124CCE" w:rsidRDefault="00C545BE" w:rsidP="00364A11">
            <w:pPr>
              <w:pStyle w:val="Header"/>
              <w:tabs>
                <w:tab w:val="clear" w:pos="4320"/>
                <w:tab w:val="clear" w:pos="8640"/>
              </w:tabs>
              <w:jc w:val="both"/>
            </w:pPr>
            <w:r>
              <w:t>C.S.</w:t>
            </w:r>
            <w:r w:rsidR="00000224">
              <w:t>H.B. 298</w:t>
            </w:r>
            <w:r>
              <w:t xml:space="preserve"> does the following:</w:t>
            </w:r>
            <w:r w:rsidR="0019138C">
              <w:t xml:space="preserve"> </w:t>
            </w:r>
          </w:p>
          <w:p w14:paraId="4D66BDB7" w14:textId="187E4807" w:rsidR="00124CCE" w:rsidRDefault="00C545BE" w:rsidP="00364A11">
            <w:pPr>
              <w:pStyle w:val="Header"/>
              <w:numPr>
                <w:ilvl w:val="0"/>
                <w:numId w:val="1"/>
              </w:numPr>
              <w:tabs>
                <w:tab w:val="clear" w:pos="4320"/>
                <w:tab w:val="clear" w:pos="8640"/>
              </w:tabs>
              <w:jc w:val="both"/>
            </w:pPr>
            <w:r>
              <w:t>authorizes a</w:t>
            </w:r>
            <w:r w:rsidRPr="0019138C">
              <w:t xml:space="preserve"> municipality </w:t>
            </w:r>
            <w:r>
              <w:t>to</w:t>
            </w:r>
            <w:r w:rsidRPr="0019138C">
              <w:t xml:space="preserve"> sue in any court to enjoin a violation of</w:t>
            </w:r>
            <w:r w:rsidR="00000224">
              <w:t xml:space="preserve"> </w:t>
            </w:r>
            <w:r w:rsidRPr="0019138C">
              <w:t>an ordinance</w:t>
            </w:r>
            <w:r w:rsidR="00000224">
              <w:t xml:space="preserve"> adopted under the bill's provisions</w:t>
            </w:r>
            <w:r>
              <w:t xml:space="preserve">; </w:t>
            </w:r>
          </w:p>
          <w:p w14:paraId="0F7018FC" w14:textId="2E3ECCB8" w:rsidR="00124CCE" w:rsidRDefault="00C545BE" w:rsidP="00364A11">
            <w:pPr>
              <w:pStyle w:val="Header"/>
              <w:numPr>
                <w:ilvl w:val="0"/>
                <w:numId w:val="1"/>
              </w:numPr>
              <w:tabs>
                <w:tab w:val="clear" w:pos="4320"/>
                <w:tab w:val="clear" w:pos="8640"/>
              </w:tabs>
              <w:jc w:val="both"/>
            </w:pPr>
            <w:r>
              <w:t xml:space="preserve">makes a person who violates an ordinance </w:t>
            </w:r>
            <w:r w:rsidRPr="00124CCE">
              <w:t>liable for a c</w:t>
            </w:r>
            <w:r>
              <w:t xml:space="preserve">ivil penalty </w:t>
            </w:r>
            <w:r w:rsidR="00EB1992">
              <w:t>capped at</w:t>
            </w:r>
            <w:r>
              <w:t xml:space="preserve"> $500; </w:t>
            </w:r>
          </w:p>
          <w:p w14:paraId="5DF49E7F" w14:textId="12A6AD41" w:rsidR="00124CCE" w:rsidRDefault="00C545BE" w:rsidP="00364A11">
            <w:pPr>
              <w:pStyle w:val="Header"/>
              <w:numPr>
                <w:ilvl w:val="0"/>
                <w:numId w:val="1"/>
              </w:numPr>
              <w:tabs>
                <w:tab w:val="clear" w:pos="4320"/>
                <w:tab w:val="clear" w:pos="8640"/>
              </w:tabs>
              <w:jc w:val="both"/>
            </w:pPr>
            <w:r>
              <w:t>grants a</w:t>
            </w:r>
            <w:r w:rsidRPr="00124CCE">
              <w:t xml:space="preserve"> municipal court original jurisdiction over a violation of an ordinance alleged to have occurred in the</w:t>
            </w:r>
            <w:r>
              <w:t xml:space="preserve"> municipality's</w:t>
            </w:r>
            <w:r w:rsidRPr="00124CCE">
              <w:t xml:space="preserve"> extraterritorial jurisdiction</w:t>
            </w:r>
            <w:r>
              <w:t>; and</w:t>
            </w:r>
          </w:p>
          <w:p w14:paraId="1F514871" w14:textId="4AE3F43E" w:rsidR="00124CCE" w:rsidRDefault="00C545BE" w:rsidP="00364A11">
            <w:pPr>
              <w:pStyle w:val="Header"/>
              <w:numPr>
                <w:ilvl w:val="0"/>
                <w:numId w:val="1"/>
              </w:numPr>
              <w:tabs>
                <w:tab w:val="clear" w:pos="4320"/>
                <w:tab w:val="clear" w:pos="8640"/>
              </w:tabs>
              <w:jc w:val="both"/>
            </w:pPr>
            <w:r w:rsidRPr="00124CCE">
              <w:t xml:space="preserve">establishes that </w:t>
            </w:r>
            <w:r>
              <w:t>the bill's</w:t>
            </w:r>
            <w:r w:rsidRPr="00124CCE">
              <w:t xml:space="preserve"> provisions do not limit a municipality's authority to regulate out</w:t>
            </w:r>
            <w:r w:rsidRPr="00124CCE">
              <w:t>door lighting under other law or authority.</w:t>
            </w:r>
          </w:p>
          <w:p w14:paraId="300EA357" w14:textId="74753D5F" w:rsidR="008423E4" w:rsidRPr="00364A11" w:rsidRDefault="00C545BE" w:rsidP="00364A11">
            <w:pPr>
              <w:pStyle w:val="Header"/>
              <w:tabs>
                <w:tab w:val="clear" w:pos="4320"/>
                <w:tab w:val="clear" w:pos="8640"/>
              </w:tabs>
              <w:jc w:val="both"/>
            </w:pPr>
            <w:r>
              <w:t xml:space="preserve"> </w:t>
            </w:r>
          </w:p>
        </w:tc>
      </w:tr>
      <w:tr w:rsidR="000A75BB" w14:paraId="6B4D8D34" w14:textId="77777777" w:rsidTr="00345119">
        <w:tc>
          <w:tcPr>
            <w:tcW w:w="9576" w:type="dxa"/>
          </w:tcPr>
          <w:p w14:paraId="6F8E35CB" w14:textId="77777777" w:rsidR="008423E4" w:rsidRPr="00A8133F" w:rsidRDefault="00C545BE" w:rsidP="00364A11">
            <w:pPr>
              <w:rPr>
                <w:b/>
              </w:rPr>
            </w:pPr>
            <w:r w:rsidRPr="009C1E9A">
              <w:rPr>
                <w:b/>
                <w:u w:val="single"/>
              </w:rPr>
              <w:t>EFFECTIVE DATE</w:t>
            </w:r>
            <w:r>
              <w:rPr>
                <w:b/>
              </w:rPr>
              <w:t xml:space="preserve"> </w:t>
            </w:r>
          </w:p>
          <w:p w14:paraId="3DB2A6A8" w14:textId="77777777" w:rsidR="008423E4" w:rsidRDefault="008423E4" w:rsidP="00364A11"/>
          <w:p w14:paraId="09B042E4" w14:textId="77777777" w:rsidR="008423E4" w:rsidRPr="003624F2" w:rsidRDefault="00C545BE" w:rsidP="00364A11">
            <w:pPr>
              <w:pStyle w:val="Header"/>
              <w:tabs>
                <w:tab w:val="clear" w:pos="4320"/>
                <w:tab w:val="clear" w:pos="8640"/>
              </w:tabs>
              <w:jc w:val="both"/>
            </w:pPr>
            <w:r>
              <w:t>September 1, 2021.</w:t>
            </w:r>
          </w:p>
          <w:p w14:paraId="4A02DFB9" w14:textId="77777777" w:rsidR="008423E4" w:rsidRPr="00233FDB" w:rsidRDefault="008423E4" w:rsidP="00364A11">
            <w:pPr>
              <w:rPr>
                <w:b/>
              </w:rPr>
            </w:pPr>
          </w:p>
        </w:tc>
      </w:tr>
      <w:tr w:rsidR="000A75BB" w14:paraId="0DA10754" w14:textId="77777777" w:rsidTr="00345119">
        <w:tc>
          <w:tcPr>
            <w:tcW w:w="9576" w:type="dxa"/>
          </w:tcPr>
          <w:p w14:paraId="28D25471" w14:textId="77777777" w:rsidR="00824D09" w:rsidRDefault="00C545BE" w:rsidP="00364A11">
            <w:pPr>
              <w:jc w:val="both"/>
              <w:rPr>
                <w:b/>
                <w:u w:val="single"/>
              </w:rPr>
            </w:pPr>
            <w:r>
              <w:rPr>
                <w:b/>
                <w:u w:val="single"/>
              </w:rPr>
              <w:t>COMPARISON OF ORIGINAL AND SUBSTITUTE</w:t>
            </w:r>
          </w:p>
          <w:p w14:paraId="3EF30340" w14:textId="77777777" w:rsidR="009E03FD" w:rsidRDefault="009E03FD" w:rsidP="00364A11">
            <w:pPr>
              <w:jc w:val="both"/>
            </w:pPr>
          </w:p>
          <w:p w14:paraId="568C53DC" w14:textId="2D178849" w:rsidR="009E03FD" w:rsidRDefault="00C545BE" w:rsidP="00364A11">
            <w:pPr>
              <w:jc w:val="both"/>
            </w:pPr>
            <w:r>
              <w:t xml:space="preserve">While C.S.H.B. 298 may differ from the original in minor or nonsubstantive ways, the following summarizes the substantial </w:t>
            </w:r>
            <w:r>
              <w:t>differences between the introduced and committee substitute versions of the bill.</w:t>
            </w:r>
          </w:p>
          <w:p w14:paraId="7AD41189" w14:textId="3C6C38D9" w:rsidR="007B70F1" w:rsidRDefault="007B70F1" w:rsidP="00364A11">
            <w:pPr>
              <w:jc w:val="both"/>
            </w:pPr>
          </w:p>
          <w:p w14:paraId="1ECDA2F8" w14:textId="51157AE2" w:rsidR="008444D1" w:rsidRDefault="00C545BE" w:rsidP="00364A11">
            <w:pPr>
              <w:jc w:val="both"/>
            </w:pPr>
            <w:r>
              <w:t>The substitute removes language that authorizes t</w:t>
            </w:r>
            <w:r w:rsidRPr="008444D1">
              <w:t>he governing body of a municipality that has</w:t>
            </w:r>
          </w:p>
          <w:p w14:paraId="0C09ED7B" w14:textId="5FC28AEE" w:rsidR="008444D1" w:rsidRDefault="00C545BE" w:rsidP="00364A11">
            <w:pPr>
              <w:jc w:val="both"/>
            </w:pPr>
            <w:r w:rsidRPr="008444D1">
              <w:t xml:space="preserve">applied for an International Dark Sky Community designation by ordinance </w:t>
            </w:r>
            <w:r>
              <w:t>to</w:t>
            </w:r>
            <w:r w:rsidRPr="008444D1">
              <w:t xml:space="preserve"> reg</w:t>
            </w:r>
            <w:r w:rsidRPr="008444D1">
              <w:t>ulate the installation and use of outdoor lighting in the municipality and the municipality's extraterritorial jurisdiction.</w:t>
            </w:r>
          </w:p>
          <w:p w14:paraId="4558BCB4" w14:textId="21B11E7C" w:rsidR="008444D1" w:rsidRDefault="008444D1" w:rsidP="00364A11">
            <w:pPr>
              <w:jc w:val="both"/>
            </w:pPr>
          </w:p>
          <w:p w14:paraId="22EB4168" w14:textId="0961F886" w:rsidR="008444D1" w:rsidRDefault="00C545BE" w:rsidP="00364A11">
            <w:pPr>
              <w:jc w:val="both"/>
            </w:pPr>
            <w:r>
              <w:t>The substitute does the following:</w:t>
            </w:r>
          </w:p>
          <w:p w14:paraId="0E87E5EE" w14:textId="0237C2B3" w:rsidR="008444D1" w:rsidRDefault="00C545BE" w:rsidP="00364A11">
            <w:pPr>
              <w:pStyle w:val="ListParagraph"/>
              <w:numPr>
                <w:ilvl w:val="0"/>
                <w:numId w:val="2"/>
              </w:numPr>
              <w:jc w:val="both"/>
            </w:pPr>
            <w:r>
              <w:t xml:space="preserve">removes a provision that </w:t>
            </w:r>
            <w:r w:rsidR="00E33336">
              <w:t>restrict</w:t>
            </w:r>
            <w:r>
              <w:t>s</w:t>
            </w:r>
            <w:r w:rsidR="00E33336">
              <w:t xml:space="preserve"> </w:t>
            </w:r>
            <w:r>
              <w:t xml:space="preserve">municipal </w:t>
            </w:r>
            <w:r w:rsidR="00E33336">
              <w:t>regulation</w:t>
            </w:r>
            <w:r w:rsidRPr="008444D1">
              <w:t xml:space="preserve"> </w:t>
            </w:r>
            <w:r>
              <w:t>to</w:t>
            </w:r>
            <w:r w:rsidRPr="008444D1">
              <w:t xml:space="preserve"> outdoor lighting constructed or reno</w:t>
            </w:r>
            <w:r w:rsidRPr="008444D1">
              <w:t xml:space="preserve">vated on or after </w:t>
            </w:r>
            <w:r>
              <w:t xml:space="preserve">an ordinance's </w:t>
            </w:r>
            <w:r w:rsidRPr="008444D1">
              <w:t>effective date</w:t>
            </w:r>
            <w:r w:rsidR="00E33336">
              <w:t>;</w:t>
            </w:r>
          </w:p>
          <w:p w14:paraId="19911565" w14:textId="454FDE3A" w:rsidR="008444D1" w:rsidRDefault="00C545BE" w:rsidP="00364A11">
            <w:pPr>
              <w:pStyle w:val="ListParagraph"/>
              <w:numPr>
                <w:ilvl w:val="0"/>
                <w:numId w:val="2"/>
              </w:numPr>
              <w:jc w:val="both"/>
            </w:pPr>
            <w:r>
              <w:t>i</w:t>
            </w:r>
            <w:r w:rsidR="00E33336">
              <w:t xml:space="preserve">ncludes a provision that </w:t>
            </w:r>
            <w:r>
              <w:t>p</w:t>
            </w:r>
            <w:r w:rsidR="00E33336">
              <w:t>rohibits a</w:t>
            </w:r>
            <w:r w:rsidR="00E33336" w:rsidRPr="00E33336">
              <w:t xml:space="preserve">n ordinance </w:t>
            </w:r>
            <w:r w:rsidR="00E33336">
              <w:t>from</w:t>
            </w:r>
            <w:r w:rsidR="00E33336" w:rsidRPr="00E33336">
              <w:t xml:space="preserve"> requir</w:t>
            </w:r>
            <w:r w:rsidR="00E33336">
              <w:t>ing</w:t>
            </w:r>
            <w:r w:rsidR="00E33336" w:rsidRPr="00E33336">
              <w:t xml:space="preserve"> outdoor lighting constructed before the date the ordinance is adopted to be brought into compliance with the ordinance before the later of September 1, 2026, or the fifth anniversary of the date the ordinance is ad</w:t>
            </w:r>
            <w:r w:rsidR="00E33336">
              <w:t>opted;</w:t>
            </w:r>
            <w:r>
              <w:t xml:space="preserve"> and</w:t>
            </w:r>
          </w:p>
          <w:p w14:paraId="6CAF84B6" w14:textId="2EA10744" w:rsidR="005D1C92" w:rsidRDefault="00C545BE" w:rsidP="00364A11">
            <w:pPr>
              <w:pStyle w:val="ListParagraph"/>
              <w:numPr>
                <w:ilvl w:val="0"/>
                <w:numId w:val="2"/>
              </w:numPr>
              <w:jc w:val="both"/>
            </w:pPr>
            <w:r>
              <w:t>i</w:t>
            </w:r>
            <w:r w:rsidR="00E33336">
              <w:t>ncludes provisions that</w:t>
            </w:r>
            <w:r>
              <w:t xml:space="preserve"> do th</w:t>
            </w:r>
            <w:r>
              <w:t>e following:</w:t>
            </w:r>
          </w:p>
          <w:p w14:paraId="61EA2367" w14:textId="77777777" w:rsidR="005D1C92" w:rsidRDefault="00C545BE" w:rsidP="00364A11">
            <w:pPr>
              <w:pStyle w:val="ListParagraph"/>
              <w:numPr>
                <w:ilvl w:val="1"/>
                <w:numId w:val="2"/>
              </w:numPr>
              <w:jc w:val="both"/>
            </w:pPr>
            <w:r>
              <w:t>prohibit an ordinance from applying to outdoor lighting that is constructed before the date the ordinance is adopted and that is located on residential property with four or fewer dwelling units located in the municipality's extraterritorial j</w:t>
            </w:r>
            <w:r>
              <w:t>urisdiction; and</w:t>
            </w:r>
            <w:r w:rsidRPr="00E33336">
              <w:t xml:space="preserve"> </w:t>
            </w:r>
          </w:p>
          <w:p w14:paraId="1DCAA9ED" w14:textId="32464337" w:rsidR="00E33336" w:rsidRDefault="00C545BE" w:rsidP="00364A11">
            <w:pPr>
              <w:pStyle w:val="ListParagraph"/>
              <w:numPr>
                <w:ilvl w:val="1"/>
                <w:numId w:val="2"/>
              </w:numPr>
              <w:jc w:val="both"/>
            </w:pPr>
            <w:r>
              <w:t xml:space="preserve">authorize a </w:t>
            </w:r>
            <w:r w:rsidRPr="00E33336">
              <w:t>municipality</w:t>
            </w:r>
            <w:r w:rsidR="005D1C92">
              <w:t xml:space="preserve"> to</w:t>
            </w:r>
            <w:r w:rsidRPr="00E33336">
              <w:t xml:space="preserve"> apply an ordinance to</w:t>
            </w:r>
            <w:r>
              <w:t xml:space="preserve"> such</w:t>
            </w:r>
            <w:r w:rsidRPr="00E33336">
              <w:t xml:space="preserve"> outdoor lighting that is part of a</w:t>
            </w:r>
            <w:r w:rsidR="003C4A5F">
              <w:t xml:space="preserve"> property's</w:t>
            </w:r>
            <w:r w:rsidRPr="00E33336">
              <w:t xml:space="preserve"> renovation.</w:t>
            </w:r>
          </w:p>
          <w:p w14:paraId="3219BB67" w14:textId="537BE1E8" w:rsidR="005D1C92" w:rsidRDefault="005D1C92" w:rsidP="00364A11">
            <w:pPr>
              <w:jc w:val="both"/>
            </w:pPr>
          </w:p>
          <w:p w14:paraId="14C641BB" w14:textId="60E61767" w:rsidR="003C4A5F" w:rsidRDefault="00C545BE" w:rsidP="00364A11">
            <w:pPr>
              <w:jc w:val="both"/>
            </w:pPr>
            <w:r>
              <w:t xml:space="preserve">The substitute changes the penalty for an ordinance violation from a </w:t>
            </w:r>
            <w:r w:rsidRPr="005D1C92">
              <w:t>Class C misdemeanor</w:t>
            </w:r>
            <w:r>
              <w:t xml:space="preserve"> offense to a </w:t>
            </w:r>
            <w:r w:rsidRPr="005D1C92">
              <w:t xml:space="preserve">civil penalty </w:t>
            </w:r>
            <w:r>
              <w:t>capped a</w:t>
            </w:r>
            <w:r>
              <w:t>t</w:t>
            </w:r>
            <w:r w:rsidRPr="005D1C92">
              <w:t xml:space="preserve"> $500.</w:t>
            </w:r>
            <w:r>
              <w:t xml:space="preserve"> The substitute includes a provision that grants a</w:t>
            </w:r>
            <w:r w:rsidRPr="005D1C92">
              <w:t xml:space="preserve"> municipal court original jurisdiction over a violation of an ordinance alleged to have occurred in the</w:t>
            </w:r>
            <w:r>
              <w:t xml:space="preserve"> municipality's</w:t>
            </w:r>
            <w:r w:rsidRPr="005D1C92">
              <w:t xml:space="preserve"> extraterritorial </w:t>
            </w:r>
            <w:r>
              <w:t>jurisdiction</w:t>
            </w:r>
            <w:r w:rsidRPr="005D1C92">
              <w:t>.</w:t>
            </w:r>
            <w:r>
              <w:t xml:space="preserve"> </w:t>
            </w:r>
          </w:p>
          <w:p w14:paraId="168F061D" w14:textId="77777777" w:rsidR="003C4A5F" w:rsidRDefault="003C4A5F" w:rsidP="00364A11">
            <w:pPr>
              <w:jc w:val="both"/>
            </w:pPr>
          </w:p>
          <w:p w14:paraId="634C36CC" w14:textId="2E553996" w:rsidR="00D369A5" w:rsidRDefault="00C545BE" w:rsidP="00364A11">
            <w:pPr>
              <w:jc w:val="both"/>
            </w:pPr>
            <w:r>
              <w:t>The substitute includes a provision establishin</w:t>
            </w:r>
            <w:r>
              <w:t xml:space="preserve">g that the bill's provisions </w:t>
            </w:r>
            <w:r w:rsidRPr="00D369A5">
              <w:t xml:space="preserve">do not limit </w:t>
            </w:r>
            <w:r>
              <w:t xml:space="preserve">a municipality's </w:t>
            </w:r>
            <w:r w:rsidRPr="00D369A5">
              <w:t>authority to regulate outdoor lighting under other law or authority.</w:t>
            </w:r>
          </w:p>
          <w:p w14:paraId="410F93AC" w14:textId="3F02F297" w:rsidR="009E03FD" w:rsidRPr="009E03FD" w:rsidRDefault="009E03FD" w:rsidP="00364A11">
            <w:pPr>
              <w:jc w:val="both"/>
            </w:pPr>
          </w:p>
        </w:tc>
      </w:tr>
      <w:tr w:rsidR="000A75BB" w14:paraId="4A21389C" w14:textId="77777777" w:rsidTr="00345119">
        <w:tc>
          <w:tcPr>
            <w:tcW w:w="9576" w:type="dxa"/>
          </w:tcPr>
          <w:p w14:paraId="06501ACF" w14:textId="77777777" w:rsidR="00824D09" w:rsidRPr="009C1E9A" w:rsidRDefault="00824D09" w:rsidP="00364A11">
            <w:pPr>
              <w:rPr>
                <w:b/>
                <w:u w:val="single"/>
              </w:rPr>
            </w:pPr>
          </w:p>
        </w:tc>
      </w:tr>
      <w:tr w:rsidR="000A75BB" w14:paraId="22842EBF" w14:textId="77777777" w:rsidTr="00345119">
        <w:tc>
          <w:tcPr>
            <w:tcW w:w="9576" w:type="dxa"/>
          </w:tcPr>
          <w:p w14:paraId="5E3E9919" w14:textId="77777777" w:rsidR="00824D09" w:rsidRPr="00824D09" w:rsidRDefault="00824D09" w:rsidP="00364A11">
            <w:pPr>
              <w:jc w:val="both"/>
            </w:pPr>
          </w:p>
        </w:tc>
      </w:tr>
    </w:tbl>
    <w:p w14:paraId="192EEB4B" w14:textId="77777777" w:rsidR="008423E4" w:rsidRPr="00BE0E75" w:rsidRDefault="008423E4" w:rsidP="00364A11">
      <w:pPr>
        <w:jc w:val="both"/>
        <w:rPr>
          <w:rFonts w:ascii="Arial" w:hAnsi="Arial"/>
          <w:sz w:val="16"/>
          <w:szCs w:val="16"/>
        </w:rPr>
      </w:pPr>
    </w:p>
    <w:p w14:paraId="38056933" w14:textId="77777777" w:rsidR="004108C3" w:rsidRPr="008423E4" w:rsidRDefault="004108C3" w:rsidP="00364A11"/>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CD7D7" w14:textId="77777777" w:rsidR="00000000" w:rsidRDefault="00C545BE">
      <w:r>
        <w:separator/>
      </w:r>
    </w:p>
  </w:endnote>
  <w:endnote w:type="continuationSeparator" w:id="0">
    <w:p w14:paraId="5FBF5DD2" w14:textId="77777777" w:rsidR="00000000" w:rsidRDefault="00C5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848B0"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A75BB" w14:paraId="06A6B229" w14:textId="77777777" w:rsidTr="009C1E9A">
      <w:trPr>
        <w:cantSplit/>
      </w:trPr>
      <w:tc>
        <w:tcPr>
          <w:tcW w:w="0" w:type="pct"/>
        </w:tcPr>
        <w:p w14:paraId="78DFFB09" w14:textId="77777777" w:rsidR="00137D90" w:rsidRDefault="00137D90" w:rsidP="009C1E9A">
          <w:pPr>
            <w:pStyle w:val="Footer"/>
            <w:tabs>
              <w:tab w:val="clear" w:pos="8640"/>
              <w:tab w:val="right" w:pos="9360"/>
            </w:tabs>
          </w:pPr>
        </w:p>
      </w:tc>
      <w:tc>
        <w:tcPr>
          <w:tcW w:w="2395" w:type="pct"/>
        </w:tcPr>
        <w:p w14:paraId="43AE6DB9" w14:textId="77777777" w:rsidR="00137D90" w:rsidRDefault="00137D90" w:rsidP="009C1E9A">
          <w:pPr>
            <w:pStyle w:val="Footer"/>
            <w:tabs>
              <w:tab w:val="clear" w:pos="8640"/>
              <w:tab w:val="right" w:pos="9360"/>
            </w:tabs>
          </w:pPr>
        </w:p>
        <w:p w14:paraId="15B429F3" w14:textId="77777777" w:rsidR="001A4310" w:rsidRDefault="001A4310" w:rsidP="009C1E9A">
          <w:pPr>
            <w:pStyle w:val="Footer"/>
            <w:tabs>
              <w:tab w:val="clear" w:pos="8640"/>
              <w:tab w:val="right" w:pos="9360"/>
            </w:tabs>
          </w:pPr>
        </w:p>
        <w:p w14:paraId="3BBA1DA7" w14:textId="77777777" w:rsidR="00137D90" w:rsidRDefault="00137D90" w:rsidP="009C1E9A">
          <w:pPr>
            <w:pStyle w:val="Footer"/>
            <w:tabs>
              <w:tab w:val="clear" w:pos="8640"/>
              <w:tab w:val="right" w:pos="9360"/>
            </w:tabs>
          </w:pPr>
        </w:p>
      </w:tc>
      <w:tc>
        <w:tcPr>
          <w:tcW w:w="2453" w:type="pct"/>
        </w:tcPr>
        <w:p w14:paraId="6E10695B" w14:textId="77777777" w:rsidR="00137D90" w:rsidRDefault="00137D90" w:rsidP="009C1E9A">
          <w:pPr>
            <w:pStyle w:val="Footer"/>
            <w:tabs>
              <w:tab w:val="clear" w:pos="8640"/>
              <w:tab w:val="right" w:pos="9360"/>
            </w:tabs>
            <w:jc w:val="right"/>
          </w:pPr>
        </w:p>
      </w:tc>
    </w:tr>
    <w:tr w:rsidR="000A75BB" w14:paraId="7798948A" w14:textId="77777777" w:rsidTr="009C1E9A">
      <w:trPr>
        <w:cantSplit/>
      </w:trPr>
      <w:tc>
        <w:tcPr>
          <w:tcW w:w="0" w:type="pct"/>
        </w:tcPr>
        <w:p w14:paraId="440D8A2A" w14:textId="77777777" w:rsidR="00EC379B" w:rsidRDefault="00EC379B" w:rsidP="009C1E9A">
          <w:pPr>
            <w:pStyle w:val="Footer"/>
            <w:tabs>
              <w:tab w:val="clear" w:pos="8640"/>
              <w:tab w:val="right" w:pos="9360"/>
            </w:tabs>
          </w:pPr>
        </w:p>
      </w:tc>
      <w:tc>
        <w:tcPr>
          <w:tcW w:w="2395" w:type="pct"/>
        </w:tcPr>
        <w:p w14:paraId="567A3ABC" w14:textId="7C3B6B47" w:rsidR="00EC379B" w:rsidRPr="009C1E9A" w:rsidRDefault="00C545BE" w:rsidP="009C1E9A">
          <w:pPr>
            <w:pStyle w:val="Footer"/>
            <w:tabs>
              <w:tab w:val="clear" w:pos="8640"/>
              <w:tab w:val="right" w:pos="9360"/>
            </w:tabs>
            <w:rPr>
              <w:rFonts w:ascii="Shruti" w:hAnsi="Shruti"/>
              <w:sz w:val="22"/>
            </w:rPr>
          </w:pPr>
          <w:r>
            <w:rPr>
              <w:rFonts w:ascii="Shruti" w:hAnsi="Shruti"/>
              <w:sz w:val="22"/>
            </w:rPr>
            <w:t>87R 18334</w:t>
          </w:r>
        </w:p>
      </w:tc>
      <w:tc>
        <w:tcPr>
          <w:tcW w:w="2453" w:type="pct"/>
        </w:tcPr>
        <w:p w14:paraId="2A2C1118" w14:textId="6A8D46DC" w:rsidR="00EC379B" w:rsidRDefault="00C545BE" w:rsidP="009C1E9A">
          <w:pPr>
            <w:pStyle w:val="Footer"/>
            <w:tabs>
              <w:tab w:val="clear" w:pos="8640"/>
              <w:tab w:val="right" w:pos="9360"/>
            </w:tabs>
            <w:jc w:val="right"/>
          </w:pPr>
          <w:r>
            <w:fldChar w:fldCharType="begin"/>
          </w:r>
          <w:r>
            <w:instrText xml:space="preserve"> DOCPROPERTY  OTID  \* MERGEFORMAT </w:instrText>
          </w:r>
          <w:r>
            <w:fldChar w:fldCharType="separate"/>
          </w:r>
          <w:r w:rsidR="0060056D">
            <w:t>21.95.985</w:t>
          </w:r>
          <w:r>
            <w:fldChar w:fldCharType="end"/>
          </w:r>
        </w:p>
      </w:tc>
    </w:tr>
    <w:tr w:rsidR="000A75BB" w14:paraId="5DA05516" w14:textId="77777777" w:rsidTr="009C1E9A">
      <w:trPr>
        <w:cantSplit/>
      </w:trPr>
      <w:tc>
        <w:tcPr>
          <w:tcW w:w="0" w:type="pct"/>
        </w:tcPr>
        <w:p w14:paraId="338775A2" w14:textId="77777777" w:rsidR="00EC379B" w:rsidRDefault="00EC379B" w:rsidP="009C1E9A">
          <w:pPr>
            <w:pStyle w:val="Footer"/>
            <w:tabs>
              <w:tab w:val="clear" w:pos="4320"/>
              <w:tab w:val="clear" w:pos="8640"/>
              <w:tab w:val="left" w:pos="2865"/>
            </w:tabs>
          </w:pPr>
        </w:p>
      </w:tc>
      <w:tc>
        <w:tcPr>
          <w:tcW w:w="2395" w:type="pct"/>
        </w:tcPr>
        <w:p w14:paraId="6EB8994C" w14:textId="46EAB1E0" w:rsidR="00EC379B" w:rsidRPr="009C1E9A" w:rsidRDefault="00C545BE" w:rsidP="009C1E9A">
          <w:pPr>
            <w:pStyle w:val="Footer"/>
            <w:tabs>
              <w:tab w:val="clear" w:pos="4320"/>
              <w:tab w:val="clear" w:pos="8640"/>
              <w:tab w:val="left" w:pos="2865"/>
            </w:tabs>
            <w:rPr>
              <w:rFonts w:ascii="Shruti" w:hAnsi="Shruti"/>
              <w:sz w:val="22"/>
            </w:rPr>
          </w:pPr>
          <w:r>
            <w:rPr>
              <w:rFonts w:ascii="Shruti" w:hAnsi="Shruti"/>
              <w:sz w:val="22"/>
            </w:rPr>
            <w:t>Substitute Document Number: 87R 16723</w:t>
          </w:r>
        </w:p>
      </w:tc>
      <w:tc>
        <w:tcPr>
          <w:tcW w:w="2453" w:type="pct"/>
        </w:tcPr>
        <w:p w14:paraId="3ADDE375" w14:textId="77777777" w:rsidR="00EC379B" w:rsidRDefault="00EC379B" w:rsidP="006D504F">
          <w:pPr>
            <w:pStyle w:val="Footer"/>
            <w:rPr>
              <w:rStyle w:val="PageNumber"/>
            </w:rPr>
          </w:pPr>
        </w:p>
        <w:p w14:paraId="6D6BDA3D" w14:textId="77777777" w:rsidR="00EC379B" w:rsidRDefault="00EC379B" w:rsidP="009C1E9A">
          <w:pPr>
            <w:pStyle w:val="Footer"/>
            <w:tabs>
              <w:tab w:val="clear" w:pos="8640"/>
              <w:tab w:val="right" w:pos="9360"/>
            </w:tabs>
            <w:jc w:val="right"/>
          </w:pPr>
        </w:p>
      </w:tc>
    </w:tr>
    <w:tr w:rsidR="000A75BB" w14:paraId="1CEA13E7" w14:textId="77777777" w:rsidTr="009C1E9A">
      <w:trPr>
        <w:cantSplit/>
        <w:trHeight w:val="323"/>
      </w:trPr>
      <w:tc>
        <w:tcPr>
          <w:tcW w:w="0" w:type="pct"/>
          <w:gridSpan w:val="3"/>
        </w:tcPr>
        <w:p w14:paraId="6AED21CE" w14:textId="0FDFCC5F" w:rsidR="00EC379B" w:rsidRDefault="00C545B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C5D78">
            <w:rPr>
              <w:rStyle w:val="PageNumber"/>
              <w:noProof/>
            </w:rPr>
            <w:t>2</w:t>
          </w:r>
          <w:r>
            <w:rPr>
              <w:rStyle w:val="PageNumber"/>
            </w:rPr>
            <w:fldChar w:fldCharType="end"/>
          </w:r>
        </w:p>
        <w:p w14:paraId="2636BC7F" w14:textId="77777777" w:rsidR="00EC379B" w:rsidRDefault="00EC379B" w:rsidP="009C1E9A">
          <w:pPr>
            <w:pStyle w:val="Footer"/>
            <w:tabs>
              <w:tab w:val="clear" w:pos="8640"/>
              <w:tab w:val="right" w:pos="9360"/>
            </w:tabs>
            <w:jc w:val="center"/>
          </w:pPr>
        </w:p>
      </w:tc>
    </w:tr>
  </w:tbl>
  <w:p w14:paraId="5B0A4E7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2A15"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26237" w14:textId="77777777" w:rsidR="00000000" w:rsidRDefault="00C545BE">
      <w:r>
        <w:separator/>
      </w:r>
    </w:p>
  </w:footnote>
  <w:footnote w:type="continuationSeparator" w:id="0">
    <w:p w14:paraId="75E9FD83" w14:textId="77777777" w:rsidR="00000000" w:rsidRDefault="00C54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A4654"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B33AC"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C6AEB"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4862"/>
    <w:multiLevelType w:val="hybridMultilevel"/>
    <w:tmpl w:val="2188C726"/>
    <w:lvl w:ilvl="0" w:tplc="DE46B5E2">
      <w:start w:val="1"/>
      <w:numFmt w:val="bullet"/>
      <w:lvlText w:val=""/>
      <w:lvlJc w:val="left"/>
      <w:pPr>
        <w:ind w:left="720" w:hanging="360"/>
      </w:pPr>
      <w:rPr>
        <w:rFonts w:ascii="Symbol" w:hAnsi="Symbol" w:hint="default"/>
      </w:rPr>
    </w:lvl>
    <w:lvl w:ilvl="1" w:tplc="43C0A05C">
      <w:start w:val="1"/>
      <w:numFmt w:val="bullet"/>
      <w:lvlText w:val="o"/>
      <w:lvlJc w:val="left"/>
      <w:pPr>
        <w:ind w:left="1440" w:hanging="360"/>
      </w:pPr>
      <w:rPr>
        <w:rFonts w:ascii="Courier New" w:hAnsi="Courier New" w:cs="Courier New" w:hint="default"/>
      </w:rPr>
    </w:lvl>
    <w:lvl w:ilvl="2" w:tplc="6EF64AC6" w:tentative="1">
      <w:start w:val="1"/>
      <w:numFmt w:val="bullet"/>
      <w:lvlText w:val=""/>
      <w:lvlJc w:val="left"/>
      <w:pPr>
        <w:ind w:left="2160" w:hanging="360"/>
      </w:pPr>
      <w:rPr>
        <w:rFonts w:ascii="Wingdings" w:hAnsi="Wingdings" w:hint="default"/>
      </w:rPr>
    </w:lvl>
    <w:lvl w:ilvl="3" w:tplc="0EB47C34" w:tentative="1">
      <w:start w:val="1"/>
      <w:numFmt w:val="bullet"/>
      <w:lvlText w:val=""/>
      <w:lvlJc w:val="left"/>
      <w:pPr>
        <w:ind w:left="2880" w:hanging="360"/>
      </w:pPr>
      <w:rPr>
        <w:rFonts w:ascii="Symbol" w:hAnsi="Symbol" w:hint="default"/>
      </w:rPr>
    </w:lvl>
    <w:lvl w:ilvl="4" w:tplc="4BCEAE6E" w:tentative="1">
      <w:start w:val="1"/>
      <w:numFmt w:val="bullet"/>
      <w:lvlText w:val="o"/>
      <w:lvlJc w:val="left"/>
      <w:pPr>
        <w:ind w:left="3600" w:hanging="360"/>
      </w:pPr>
      <w:rPr>
        <w:rFonts w:ascii="Courier New" w:hAnsi="Courier New" w:cs="Courier New" w:hint="default"/>
      </w:rPr>
    </w:lvl>
    <w:lvl w:ilvl="5" w:tplc="2756865E" w:tentative="1">
      <w:start w:val="1"/>
      <w:numFmt w:val="bullet"/>
      <w:lvlText w:val=""/>
      <w:lvlJc w:val="left"/>
      <w:pPr>
        <w:ind w:left="4320" w:hanging="360"/>
      </w:pPr>
      <w:rPr>
        <w:rFonts w:ascii="Wingdings" w:hAnsi="Wingdings" w:hint="default"/>
      </w:rPr>
    </w:lvl>
    <w:lvl w:ilvl="6" w:tplc="5D54C560" w:tentative="1">
      <w:start w:val="1"/>
      <w:numFmt w:val="bullet"/>
      <w:lvlText w:val=""/>
      <w:lvlJc w:val="left"/>
      <w:pPr>
        <w:ind w:left="5040" w:hanging="360"/>
      </w:pPr>
      <w:rPr>
        <w:rFonts w:ascii="Symbol" w:hAnsi="Symbol" w:hint="default"/>
      </w:rPr>
    </w:lvl>
    <w:lvl w:ilvl="7" w:tplc="87401BE0" w:tentative="1">
      <w:start w:val="1"/>
      <w:numFmt w:val="bullet"/>
      <w:lvlText w:val="o"/>
      <w:lvlJc w:val="left"/>
      <w:pPr>
        <w:ind w:left="5760" w:hanging="360"/>
      </w:pPr>
      <w:rPr>
        <w:rFonts w:ascii="Courier New" w:hAnsi="Courier New" w:cs="Courier New" w:hint="default"/>
      </w:rPr>
    </w:lvl>
    <w:lvl w:ilvl="8" w:tplc="DE42274C" w:tentative="1">
      <w:start w:val="1"/>
      <w:numFmt w:val="bullet"/>
      <w:lvlText w:val=""/>
      <w:lvlJc w:val="left"/>
      <w:pPr>
        <w:ind w:left="6480" w:hanging="360"/>
      </w:pPr>
      <w:rPr>
        <w:rFonts w:ascii="Wingdings" w:hAnsi="Wingdings" w:hint="default"/>
      </w:rPr>
    </w:lvl>
  </w:abstractNum>
  <w:abstractNum w:abstractNumId="1" w15:restartNumberingAfterBreak="0">
    <w:nsid w:val="77DF7B34"/>
    <w:multiLevelType w:val="hybridMultilevel"/>
    <w:tmpl w:val="B098564C"/>
    <w:lvl w:ilvl="0" w:tplc="007CD742">
      <w:start w:val="1"/>
      <w:numFmt w:val="bullet"/>
      <w:lvlText w:val=""/>
      <w:lvlJc w:val="left"/>
      <w:pPr>
        <w:ind w:left="720" w:hanging="360"/>
      </w:pPr>
      <w:rPr>
        <w:rFonts w:ascii="Symbol" w:hAnsi="Symbol" w:hint="default"/>
      </w:rPr>
    </w:lvl>
    <w:lvl w:ilvl="1" w:tplc="8D66EE7C" w:tentative="1">
      <w:start w:val="1"/>
      <w:numFmt w:val="bullet"/>
      <w:lvlText w:val="o"/>
      <w:lvlJc w:val="left"/>
      <w:pPr>
        <w:ind w:left="1440" w:hanging="360"/>
      </w:pPr>
      <w:rPr>
        <w:rFonts w:ascii="Courier New" w:hAnsi="Courier New" w:cs="Courier New" w:hint="default"/>
      </w:rPr>
    </w:lvl>
    <w:lvl w:ilvl="2" w:tplc="B998987E" w:tentative="1">
      <w:start w:val="1"/>
      <w:numFmt w:val="bullet"/>
      <w:lvlText w:val=""/>
      <w:lvlJc w:val="left"/>
      <w:pPr>
        <w:ind w:left="2160" w:hanging="360"/>
      </w:pPr>
      <w:rPr>
        <w:rFonts w:ascii="Wingdings" w:hAnsi="Wingdings" w:hint="default"/>
      </w:rPr>
    </w:lvl>
    <w:lvl w:ilvl="3" w:tplc="B150E80A" w:tentative="1">
      <w:start w:val="1"/>
      <w:numFmt w:val="bullet"/>
      <w:lvlText w:val=""/>
      <w:lvlJc w:val="left"/>
      <w:pPr>
        <w:ind w:left="2880" w:hanging="360"/>
      </w:pPr>
      <w:rPr>
        <w:rFonts w:ascii="Symbol" w:hAnsi="Symbol" w:hint="default"/>
      </w:rPr>
    </w:lvl>
    <w:lvl w:ilvl="4" w:tplc="86DC247A" w:tentative="1">
      <w:start w:val="1"/>
      <w:numFmt w:val="bullet"/>
      <w:lvlText w:val="o"/>
      <w:lvlJc w:val="left"/>
      <w:pPr>
        <w:ind w:left="3600" w:hanging="360"/>
      </w:pPr>
      <w:rPr>
        <w:rFonts w:ascii="Courier New" w:hAnsi="Courier New" w:cs="Courier New" w:hint="default"/>
      </w:rPr>
    </w:lvl>
    <w:lvl w:ilvl="5" w:tplc="A0DA6D48" w:tentative="1">
      <w:start w:val="1"/>
      <w:numFmt w:val="bullet"/>
      <w:lvlText w:val=""/>
      <w:lvlJc w:val="left"/>
      <w:pPr>
        <w:ind w:left="4320" w:hanging="360"/>
      </w:pPr>
      <w:rPr>
        <w:rFonts w:ascii="Wingdings" w:hAnsi="Wingdings" w:hint="default"/>
      </w:rPr>
    </w:lvl>
    <w:lvl w:ilvl="6" w:tplc="DDF0CB7C" w:tentative="1">
      <w:start w:val="1"/>
      <w:numFmt w:val="bullet"/>
      <w:lvlText w:val=""/>
      <w:lvlJc w:val="left"/>
      <w:pPr>
        <w:ind w:left="5040" w:hanging="360"/>
      </w:pPr>
      <w:rPr>
        <w:rFonts w:ascii="Symbol" w:hAnsi="Symbol" w:hint="default"/>
      </w:rPr>
    </w:lvl>
    <w:lvl w:ilvl="7" w:tplc="CB1474C0" w:tentative="1">
      <w:start w:val="1"/>
      <w:numFmt w:val="bullet"/>
      <w:lvlText w:val="o"/>
      <w:lvlJc w:val="left"/>
      <w:pPr>
        <w:ind w:left="5760" w:hanging="360"/>
      </w:pPr>
      <w:rPr>
        <w:rFonts w:ascii="Courier New" w:hAnsi="Courier New" w:cs="Courier New" w:hint="default"/>
      </w:rPr>
    </w:lvl>
    <w:lvl w:ilvl="8" w:tplc="6ADAC4B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3D"/>
    <w:rsid w:val="00000224"/>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5EF5"/>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A75BB"/>
    <w:rsid w:val="000B1486"/>
    <w:rsid w:val="000B3E61"/>
    <w:rsid w:val="000B54AF"/>
    <w:rsid w:val="000B6090"/>
    <w:rsid w:val="000B6FEE"/>
    <w:rsid w:val="000C12C4"/>
    <w:rsid w:val="000C49DA"/>
    <w:rsid w:val="000C4B3D"/>
    <w:rsid w:val="000C5D78"/>
    <w:rsid w:val="000C6DC1"/>
    <w:rsid w:val="000C6E20"/>
    <w:rsid w:val="000C76D7"/>
    <w:rsid w:val="000C7F1D"/>
    <w:rsid w:val="000D2EBA"/>
    <w:rsid w:val="000D2F6A"/>
    <w:rsid w:val="000D32A1"/>
    <w:rsid w:val="000D3725"/>
    <w:rsid w:val="000D46E5"/>
    <w:rsid w:val="000D769C"/>
    <w:rsid w:val="000E1976"/>
    <w:rsid w:val="000E20F1"/>
    <w:rsid w:val="000E5B20"/>
    <w:rsid w:val="000E7C14"/>
    <w:rsid w:val="000F094C"/>
    <w:rsid w:val="000F0A75"/>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4CCE"/>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138C"/>
    <w:rsid w:val="0019457A"/>
    <w:rsid w:val="00195257"/>
    <w:rsid w:val="00195388"/>
    <w:rsid w:val="0019539E"/>
    <w:rsid w:val="0019540F"/>
    <w:rsid w:val="001968BC"/>
    <w:rsid w:val="001A0739"/>
    <w:rsid w:val="001A0C8C"/>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2613D"/>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3725"/>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2538A"/>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4A11"/>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4A5F"/>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6715"/>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4D3E"/>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1C92"/>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56D"/>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27D80"/>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107"/>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1149"/>
    <w:rsid w:val="007B4FCA"/>
    <w:rsid w:val="007B70F1"/>
    <w:rsid w:val="007B7B85"/>
    <w:rsid w:val="007C462E"/>
    <w:rsid w:val="007C496B"/>
    <w:rsid w:val="007C6803"/>
    <w:rsid w:val="007D2892"/>
    <w:rsid w:val="007D2DCC"/>
    <w:rsid w:val="007D47E1"/>
    <w:rsid w:val="007D7FCB"/>
    <w:rsid w:val="007E33B6"/>
    <w:rsid w:val="007E59E8"/>
    <w:rsid w:val="007F3861"/>
    <w:rsid w:val="007F4162"/>
    <w:rsid w:val="007F5441"/>
    <w:rsid w:val="007F648E"/>
    <w:rsid w:val="007F7668"/>
    <w:rsid w:val="00800C63"/>
    <w:rsid w:val="00802243"/>
    <w:rsid w:val="008023D4"/>
    <w:rsid w:val="00805402"/>
    <w:rsid w:val="0080765F"/>
    <w:rsid w:val="00812BE3"/>
    <w:rsid w:val="00814516"/>
    <w:rsid w:val="00815C9D"/>
    <w:rsid w:val="008170E2"/>
    <w:rsid w:val="00823E4C"/>
    <w:rsid w:val="00824D09"/>
    <w:rsid w:val="00827749"/>
    <w:rsid w:val="00827B7E"/>
    <w:rsid w:val="00830EEB"/>
    <w:rsid w:val="008347A9"/>
    <w:rsid w:val="00835628"/>
    <w:rsid w:val="00835E90"/>
    <w:rsid w:val="0084176D"/>
    <w:rsid w:val="008423E4"/>
    <w:rsid w:val="00842900"/>
    <w:rsid w:val="008444D1"/>
    <w:rsid w:val="008477AB"/>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3F84"/>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328D"/>
    <w:rsid w:val="00915568"/>
    <w:rsid w:val="00917E0C"/>
    <w:rsid w:val="00920711"/>
    <w:rsid w:val="00921A1E"/>
    <w:rsid w:val="00924EA9"/>
    <w:rsid w:val="00925CE1"/>
    <w:rsid w:val="00925F5C"/>
    <w:rsid w:val="00930897"/>
    <w:rsid w:val="009320D2"/>
    <w:rsid w:val="00932C77"/>
    <w:rsid w:val="0093417F"/>
    <w:rsid w:val="00934AC2"/>
    <w:rsid w:val="009375BB"/>
    <w:rsid w:val="00940185"/>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03FD"/>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0EAA"/>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3F9A"/>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45BE"/>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69F"/>
    <w:rsid w:val="00CA4CA0"/>
    <w:rsid w:val="00CA5E5E"/>
    <w:rsid w:val="00CA7D7B"/>
    <w:rsid w:val="00CB0131"/>
    <w:rsid w:val="00CB0AE4"/>
    <w:rsid w:val="00CB0C21"/>
    <w:rsid w:val="00CB0D1A"/>
    <w:rsid w:val="00CB3627"/>
    <w:rsid w:val="00CB4B4B"/>
    <w:rsid w:val="00CB4B73"/>
    <w:rsid w:val="00CB74CB"/>
    <w:rsid w:val="00CB7E04"/>
    <w:rsid w:val="00CC24B7"/>
    <w:rsid w:val="00CC384D"/>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179F"/>
    <w:rsid w:val="00D22160"/>
    <w:rsid w:val="00D22172"/>
    <w:rsid w:val="00D2301B"/>
    <w:rsid w:val="00D239EE"/>
    <w:rsid w:val="00D30534"/>
    <w:rsid w:val="00D35728"/>
    <w:rsid w:val="00D369A5"/>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32E3"/>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09A"/>
    <w:rsid w:val="00E31135"/>
    <w:rsid w:val="00E317BA"/>
    <w:rsid w:val="00E33336"/>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56DC"/>
    <w:rsid w:val="00EA658E"/>
    <w:rsid w:val="00EA7A88"/>
    <w:rsid w:val="00EB1992"/>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423C8D-6757-4ADB-81A5-2B9DB688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00224"/>
    <w:rPr>
      <w:sz w:val="16"/>
      <w:szCs w:val="16"/>
    </w:rPr>
  </w:style>
  <w:style w:type="paragraph" w:styleId="CommentText">
    <w:name w:val="annotation text"/>
    <w:basedOn w:val="Normal"/>
    <w:link w:val="CommentTextChar"/>
    <w:semiHidden/>
    <w:unhideWhenUsed/>
    <w:rsid w:val="00000224"/>
    <w:rPr>
      <w:sz w:val="20"/>
      <w:szCs w:val="20"/>
    </w:rPr>
  </w:style>
  <w:style w:type="character" w:customStyle="1" w:styleId="CommentTextChar">
    <w:name w:val="Comment Text Char"/>
    <w:basedOn w:val="DefaultParagraphFont"/>
    <w:link w:val="CommentText"/>
    <w:semiHidden/>
    <w:rsid w:val="00000224"/>
  </w:style>
  <w:style w:type="paragraph" w:styleId="CommentSubject">
    <w:name w:val="annotation subject"/>
    <w:basedOn w:val="CommentText"/>
    <w:next w:val="CommentText"/>
    <w:link w:val="CommentSubjectChar"/>
    <w:semiHidden/>
    <w:unhideWhenUsed/>
    <w:rsid w:val="00000224"/>
    <w:rPr>
      <w:b/>
      <w:bCs/>
    </w:rPr>
  </w:style>
  <w:style w:type="character" w:customStyle="1" w:styleId="CommentSubjectChar">
    <w:name w:val="Comment Subject Char"/>
    <w:basedOn w:val="CommentTextChar"/>
    <w:link w:val="CommentSubject"/>
    <w:semiHidden/>
    <w:rsid w:val="00000224"/>
    <w:rPr>
      <w:b/>
      <w:bCs/>
    </w:rPr>
  </w:style>
  <w:style w:type="paragraph" w:styleId="ListParagraph">
    <w:name w:val="List Paragraph"/>
    <w:basedOn w:val="Normal"/>
    <w:uiPriority w:val="34"/>
    <w:qFormat/>
    <w:rsid w:val="005D1C92"/>
    <w:pPr>
      <w:ind w:left="720"/>
      <w:contextualSpacing/>
    </w:pPr>
  </w:style>
  <w:style w:type="character" w:styleId="Hyperlink">
    <w:name w:val="Hyperlink"/>
    <w:basedOn w:val="DefaultParagraphFont"/>
    <w:unhideWhenUsed/>
    <w:rsid w:val="00711107"/>
    <w:rPr>
      <w:color w:val="0000FF" w:themeColor="hyperlink"/>
      <w:u w:val="single"/>
    </w:rPr>
  </w:style>
  <w:style w:type="paragraph" w:styleId="Revision">
    <w:name w:val="Revision"/>
    <w:hidden/>
    <w:uiPriority w:val="99"/>
    <w:semiHidden/>
    <w:rsid w:val="00DD32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694</Words>
  <Characters>4082</Characters>
  <Application>Microsoft Office Word</Application>
  <DocSecurity>4</DocSecurity>
  <Lines>97</Lines>
  <Paragraphs>32</Paragraphs>
  <ScaleCrop>false</ScaleCrop>
  <HeadingPairs>
    <vt:vector size="2" baseType="variant">
      <vt:variant>
        <vt:lpstr>Title</vt:lpstr>
      </vt:variant>
      <vt:variant>
        <vt:i4>1</vt:i4>
      </vt:variant>
    </vt:vector>
  </HeadingPairs>
  <TitlesOfParts>
    <vt:vector size="1" baseType="lpstr">
      <vt:lpstr>BA - HB00298 (Committee Report (Substituted))</vt:lpstr>
    </vt:vector>
  </TitlesOfParts>
  <Company>State of Texas</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18334</dc:subject>
  <dc:creator>State of Texas</dc:creator>
  <dc:description>HB 298 by Zwiener-(H)Urban Affairs (Substitute Document Number: 87R 16723)</dc:description>
  <cp:lastModifiedBy>Lauren Bustamente</cp:lastModifiedBy>
  <cp:revision>2</cp:revision>
  <cp:lastPrinted>2003-11-26T17:21:00Z</cp:lastPrinted>
  <dcterms:created xsi:type="dcterms:W3CDTF">2021-04-08T20:40:00Z</dcterms:created>
  <dcterms:modified xsi:type="dcterms:W3CDTF">2021-04-08T20:40:00Z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21.95.985</vt:lpwstr>
  </property>
</Properties>
</file>