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39102C" w14:paraId="59947FF3" w14:textId="77777777" w:rsidTr="00345119">
        <w:tc>
          <w:tcPr>
            <w:tcW w:w="9576" w:type="dxa"/>
            <w:noWrap/>
          </w:tcPr>
          <w:p w14:paraId="49B5AC01" w14:textId="77777777" w:rsidR="008423E4" w:rsidRPr="0022177D" w:rsidRDefault="00CA0C7B" w:rsidP="008E55F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0FD6219" w14:textId="77777777" w:rsidR="008423E4" w:rsidRPr="0022177D" w:rsidRDefault="008423E4" w:rsidP="008E55F0">
      <w:pPr>
        <w:jc w:val="center"/>
      </w:pPr>
    </w:p>
    <w:p w14:paraId="03A9243D" w14:textId="77777777" w:rsidR="008423E4" w:rsidRPr="00B31F0E" w:rsidRDefault="008423E4" w:rsidP="008E55F0"/>
    <w:p w14:paraId="0ADFF2C2" w14:textId="77777777" w:rsidR="008423E4" w:rsidRPr="00742794" w:rsidRDefault="008423E4" w:rsidP="008E55F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9102C" w14:paraId="1A5A3278" w14:textId="77777777" w:rsidTr="00345119">
        <w:tc>
          <w:tcPr>
            <w:tcW w:w="9576" w:type="dxa"/>
          </w:tcPr>
          <w:p w14:paraId="4C70B19A" w14:textId="27F16E48" w:rsidR="008423E4" w:rsidRPr="00861995" w:rsidRDefault="00CA0C7B" w:rsidP="008E55F0">
            <w:pPr>
              <w:jc w:val="right"/>
            </w:pPr>
            <w:r>
              <w:t>C.S.H.B. 317</w:t>
            </w:r>
          </w:p>
        </w:tc>
      </w:tr>
      <w:tr w:rsidR="0039102C" w14:paraId="1C822FD4" w14:textId="77777777" w:rsidTr="00345119">
        <w:tc>
          <w:tcPr>
            <w:tcW w:w="9576" w:type="dxa"/>
          </w:tcPr>
          <w:p w14:paraId="114EF10D" w14:textId="15C42AB7" w:rsidR="008423E4" w:rsidRPr="00861995" w:rsidRDefault="00CA0C7B" w:rsidP="008E55F0">
            <w:pPr>
              <w:jc w:val="right"/>
            </w:pPr>
            <w:r>
              <w:t xml:space="preserve">By: </w:t>
            </w:r>
            <w:r w:rsidR="00536828">
              <w:t>Murr</w:t>
            </w:r>
          </w:p>
        </w:tc>
      </w:tr>
      <w:tr w:rsidR="0039102C" w14:paraId="2787C9D7" w14:textId="77777777" w:rsidTr="00345119">
        <w:tc>
          <w:tcPr>
            <w:tcW w:w="9576" w:type="dxa"/>
          </w:tcPr>
          <w:p w14:paraId="4971A305" w14:textId="72DB7FE6" w:rsidR="008423E4" w:rsidRPr="00861995" w:rsidRDefault="00CA0C7B" w:rsidP="008E55F0">
            <w:pPr>
              <w:jc w:val="right"/>
            </w:pPr>
            <w:r>
              <w:t>Insurance</w:t>
            </w:r>
          </w:p>
        </w:tc>
      </w:tr>
      <w:tr w:rsidR="0039102C" w14:paraId="66D3C4BA" w14:textId="77777777" w:rsidTr="00345119">
        <w:tc>
          <w:tcPr>
            <w:tcW w:w="9576" w:type="dxa"/>
          </w:tcPr>
          <w:p w14:paraId="1F56FA79" w14:textId="1560FE69" w:rsidR="008423E4" w:rsidRDefault="00CA0C7B" w:rsidP="008E55F0">
            <w:pPr>
              <w:jc w:val="right"/>
            </w:pPr>
            <w:r>
              <w:t>Committee Report (Substituted)</w:t>
            </w:r>
          </w:p>
        </w:tc>
      </w:tr>
    </w:tbl>
    <w:p w14:paraId="652F0C6D" w14:textId="77777777" w:rsidR="008423E4" w:rsidRDefault="008423E4" w:rsidP="008E55F0">
      <w:pPr>
        <w:tabs>
          <w:tab w:val="right" w:pos="9360"/>
        </w:tabs>
      </w:pPr>
    </w:p>
    <w:p w14:paraId="58FCB146" w14:textId="77777777" w:rsidR="008423E4" w:rsidRDefault="008423E4" w:rsidP="008E55F0"/>
    <w:p w14:paraId="7129B80C" w14:textId="77777777" w:rsidR="008423E4" w:rsidRDefault="008423E4" w:rsidP="008E55F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39102C" w14:paraId="117F5498" w14:textId="77777777" w:rsidTr="00345119">
        <w:tc>
          <w:tcPr>
            <w:tcW w:w="9576" w:type="dxa"/>
          </w:tcPr>
          <w:p w14:paraId="68869A98" w14:textId="77777777" w:rsidR="008423E4" w:rsidRPr="00A8133F" w:rsidRDefault="00CA0C7B" w:rsidP="008E55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E5AB56" w14:textId="77777777" w:rsidR="008423E4" w:rsidRDefault="008423E4" w:rsidP="008E55F0"/>
          <w:p w14:paraId="1BEACE39" w14:textId="36202A95" w:rsidR="008423E4" w:rsidRDefault="00CA0C7B" w:rsidP="008E5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reported that</w:t>
            </w:r>
            <w:r w:rsidRPr="00EE0DF0">
              <w:t xml:space="preserve"> insurance companies are denying </w:t>
            </w:r>
            <w:r>
              <w:t>coverage,</w:t>
            </w:r>
            <w:r w:rsidRPr="00EE0DF0">
              <w:t xml:space="preserve"> increasing premiums</w:t>
            </w:r>
            <w:r>
              <w:t xml:space="preserve">, </w:t>
            </w:r>
            <w:r w:rsidR="00BE1C34">
              <w:t>and</w:t>
            </w:r>
            <w:r>
              <w:t xml:space="preserve"> taking o</w:t>
            </w:r>
            <w:r w:rsidR="001F3736">
              <w:t>th</w:t>
            </w:r>
            <w:r>
              <w:t xml:space="preserve">er adverse actions against individuals </w:t>
            </w:r>
            <w:r>
              <w:t>with respect to</w:t>
            </w:r>
            <w:r w:rsidRPr="00EE0DF0">
              <w:t xml:space="preserve"> life, disability</w:t>
            </w:r>
            <w:r>
              <w:t>,</w:t>
            </w:r>
            <w:r w:rsidRPr="00EE0DF0">
              <w:t xml:space="preserve"> and long</w:t>
            </w:r>
            <w:r w:rsidR="00C70A15">
              <w:t>-</w:t>
            </w:r>
            <w:r w:rsidRPr="00EE0DF0">
              <w:t xml:space="preserve">term care insurance </w:t>
            </w:r>
            <w:r>
              <w:t>policies because those individuals are</w:t>
            </w:r>
            <w:r w:rsidRPr="00EE0DF0">
              <w:t xml:space="preserve"> living organ donors. </w:t>
            </w:r>
            <w:r>
              <w:t>There are concerns that these practices may create a disincentive for other individuals to become living organ donors in the future</w:t>
            </w:r>
            <w:r w:rsidR="00BE1C34">
              <w:t>, thus resulting in longer wait times and worse health outcomes for patients who rely on those organ donations</w:t>
            </w:r>
            <w:r>
              <w:t xml:space="preserve">. </w:t>
            </w:r>
            <w:r w:rsidR="00BE1C34">
              <w:t>C.S.H.B. 317 seeks to remove this potential disincentive by</w:t>
            </w:r>
            <w:r w:rsidRPr="00EE0DF0">
              <w:t xml:space="preserve"> prohibit</w:t>
            </w:r>
            <w:r w:rsidR="00BE1C34">
              <w:t>ing</w:t>
            </w:r>
            <w:r w:rsidRPr="00EE0DF0">
              <w:t xml:space="preserve"> insurance companies from </w:t>
            </w:r>
            <w:r w:rsidR="00BE1C34">
              <w:t>taking certain adverse actions against individuals who are</w:t>
            </w:r>
            <w:r w:rsidRPr="00EE0DF0">
              <w:t xml:space="preserve"> living organ donors solely on </w:t>
            </w:r>
            <w:r w:rsidR="00BE1C34">
              <w:t>that basis</w:t>
            </w:r>
            <w:r w:rsidR="00972E36">
              <w:t xml:space="preserve"> and with respect to those types of policies</w:t>
            </w:r>
            <w:r w:rsidRPr="00EE0DF0">
              <w:t>.</w:t>
            </w:r>
          </w:p>
          <w:p w14:paraId="19F61B3B" w14:textId="77777777" w:rsidR="008423E4" w:rsidRPr="00E26B13" w:rsidRDefault="008423E4" w:rsidP="008E55F0">
            <w:pPr>
              <w:rPr>
                <w:b/>
              </w:rPr>
            </w:pPr>
          </w:p>
        </w:tc>
      </w:tr>
      <w:tr w:rsidR="0039102C" w14:paraId="474ABF5B" w14:textId="77777777" w:rsidTr="00345119">
        <w:tc>
          <w:tcPr>
            <w:tcW w:w="9576" w:type="dxa"/>
          </w:tcPr>
          <w:p w14:paraId="5CDCFA7F" w14:textId="77777777" w:rsidR="0017725B" w:rsidRDefault="00CA0C7B" w:rsidP="008E55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82CB95" w14:textId="77777777" w:rsidR="0017725B" w:rsidRDefault="0017725B" w:rsidP="008E55F0">
            <w:pPr>
              <w:rPr>
                <w:b/>
                <w:u w:val="single"/>
              </w:rPr>
            </w:pPr>
          </w:p>
          <w:p w14:paraId="48C8C6C1" w14:textId="77777777" w:rsidR="0097359D" w:rsidRPr="0097359D" w:rsidRDefault="00CA0C7B" w:rsidP="008E55F0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14:paraId="597DB9B8" w14:textId="77777777" w:rsidR="0017725B" w:rsidRPr="0017725B" w:rsidRDefault="0017725B" w:rsidP="008E55F0">
            <w:pPr>
              <w:rPr>
                <w:b/>
                <w:u w:val="single"/>
              </w:rPr>
            </w:pPr>
          </w:p>
        </w:tc>
      </w:tr>
      <w:tr w:rsidR="0039102C" w14:paraId="7E51A6F7" w14:textId="77777777" w:rsidTr="00345119">
        <w:tc>
          <w:tcPr>
            <w:tcW w:w="9576" w:type="dxa"/>
          </w:tcPr>
          <w:p w14:paraId="199BD509" w14:textId="77777777" w:rsidR="008423E4" w:rsidRPr="00A8133F" w:rsidRDefault="00CA0C7B" w:rsidP="008E55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A487EFB" w14:textId="77777777" w:rsidR="008423E4" w:rsidRDefault="008423E4" w:rsidP="008E55F0"/>
          <w:p w14:paraId="1A3C2C51" w14:textId="77777777" w:rsidR="0097359D" w:rsidRDefault="00CA0C7B" w:rsidP="008E5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14:paraId="117CDDB2" w14:textId="77777777" w:rsidR="008423E4" w:rsidRPr="00E21FDC" w:rsidRDefault="008423E4" w:rsidP="008E55F0">
            <w:pPr>
              <w:rPr>
                <w:b/>
              </w:rPr>
            </w:pPr>
          </w:p>
        </w:tc>
      </w:tr>
      <w:tr w:rsidR="0039102C" w14:paraId="315AB740" w14:textId="77777777" w:rsidTr="00345119">
        <w:tc>
          <w:tcPr>
            <w:tcW w:w="9576" w:type="dxa"/>
          </w:tcPr>
          <w:p w14:paraId="1D7F3F81" w14:textId="77777777" w:rsidR="008423E4" w:rsidRPr="00A8133F" w:rsidRDefault="00CA0C7B" w:rsidP="008E55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5B3EF63" w14:textId="77777777" w:rsidR="008423E4" w:rsidRDefault="008423E4" w:rsidP="008E55F0"/>
          <w:p w14:paraId="53791F02" w14:textId="7DC3AFDA" w:rsidR="00A50286" w:rsidRDefault="00CA0C7B" w:rsidP="008E5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97359D">
              <w:t xml:space="preserve">H.B. 317 amends the Insurance Code to prohibit an insurer from </w:t>
            </w:r>
            <w:r>
              <w:t xml:space="preserve">taking any of the following actions against </w:t>
            </w:r>
            <w:r w:rsidR="0097359D" w:rsidRPr="0097359D">
              <w:t xml:space="preserve">an individual </w:t>
            </w:r>
            <w:r w:rsidR="004F01D1">
              <w:t>with respect to</w:t>
            </w:r>
            <w:r>
              <w:t xml:space="preserve"> a life insurance policy or contract, disability insurance policy, or long-term care insurance policy based solely on the individual's status as</w:t>
            </w:r>
            <w:r w:rsidR="0097359D" w:rsidRPr="0097359D">
              <w:t xml:space="preserve"> a living organ donor</w:t>
            </w:r>
            <w:r>
              <w:t>:</w:t>
            </w:r>
          </w:p>
          <w:p w14:paraId="63E07618" w14:textId="34948DC9" w:rsidR="00A50286" w:rsidRDefault="00CA0C7B" w:rsidP="008E55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7359D">
              <w:t>deny</w:t>
            </w:r>
            <w:r w:rsidR="00916D74">
              <w:t>ing</w:t>
            </w:r>
            <w:r>
              <w:t xml:space="preserve"> coverage to the individual;</w:t>
            </w:r>
          </w:p>
          <w:p w14:paraId="24A03C0D" w14:textId="42103036" w:rsidR="00A50286" w:rsidRDefault="00CA0C7B" w:rsidP="008E55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97359D">
              <w:t>refus</w:t>
            </w:r>
            <w:r w:rsidR="00916D74">
              <w:t>ing</w:t>
            </w:r>
            <w:r w:rsidRPr="0097359D">
              <w:t xml:space="preserve"> to renew</w:t>
            </w:r>
            <w:r>
              <w:t xml:space="preserve"> or </w:t>
            </w:r>
            <w:r w:rsidR="004F01D1">
              <w:t>canceling</w:t>
            </w:r>
            <w:r>
              <w:t xml:space="preserve"> the individual's cover</w:t>
            </w:r>
            <w:r>
              <w:t>age;</w:t>
            </w:r>
          </w:p>
          <w:p w14:paraId="61994B66" w14:textId="02165971" w:rsidR="00A50286" w:rsidRDefault="00CA0C7B" w:rsidP="008E55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limiting the amount, extent, or kind of coverage available to the individual;</w:t>
            </w:r>
            <w:r w:rsidR="004F01D1">
              <w:t xml:space="preserve"> </w:t>
            </w:r>
            <w:r w:rsidR="00652A31">
              <w:t>or</w:t>
            </w:r>
          </w:p>
          <w:p w14:paraId="114E299C" w14:textId="2D60CAD9" w:rsidR="00652A31" w:rsidRDefault="00CA0C7B" w:rsidP="008E55F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charging the individual or a group to which the individual belongs a rate that is different than the rate </w:t>
            </w:r>
            <w:r w:rsidRPr="00A50286">
              <w:t>charged to other individuals or groups, as applicable, for the s</w:t>
            </w:r>
            <w:r w:rsidRPr="00A50286">
              <w:t>ame coverage</w:t>
            </w:r>
            <w:r>
              <w:t>,</w:t>
            </w:r>
            <w:r w:rsidRPr="00A50286">
              <w:t xml:space="preserve"> unless the rate differential is based on sound actuarial principles or sound underwriting related to actual or anticipated loss e</w:t>
            </w:r>
            <w:r>
              <w:t>xperience for a particular risk</w:t>
            </w:r>
            <w:r w:rsidR="001E514E">
              <w:t>.</w:t>
            </w:r>
            <w:r w:rsidR="0097359D">
              <w:t xml:space="preserve"> </w:t>
            </w:r>
          </w:p>
          <w:p w14:paraId="52F3734B" w14:textId="7552BB93" w:rsidR="009C36CD" w:rsidRPr="009C36CD" w:rsidRDefault="00CA0C7B" w:rsidP="008E5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also prohibits an insurer from </w:t>
            </w:r>
            <w:r w:rsidRPr="0097359D">
              <w:t>prevent</w:t>
            </w:r>
            <w:r>
              <w:t>ing</w:t>
            </w:r>
            <w:r w:rsidRPr="0097359D">
              <w:t xml:space="preserve"> </w:t>
            </w:r>
            <w:r w:rsidR="004F01D1">
              <w:t>an individual</w:t>
            </w:r>
            <w:r w:rsidRPr="0097359D">
              <w:t xml:space="preserve"> from donating </w:t>
            </w:r>
            <w:r w:rsidRPr="0097359D">
              <w:t xml:space="preserve">all or part of an organ as a condition of continuing coverage under </w:t>
            </w:r>
            <w:r>
              <w:t xml:space="preserve">such a </w:t>
            </w:r>
            <w:r w:rsidRPr="0097359D">
              <w:t>policy</w:t>
            </w:r>
            <w:r>
              <w:t xml:space="preserve">. These provisions apply only to </w:t>
            </w:r>
            <w:r w:rsidRPr="0097359D">
              <w:t>a policy or contract that is delivered, issued for delivery, or renewed on or after January 1, 2022.</w:t>
            </w:r>
          </w:p>
          <w:p w14:paraId="609AE547" w14:textId="77777777" w:rsidR="008423E4" w:rsidRPr="00835628" w:rsidRDefault="008423E4" w:rsidP="008E55F0">
            <w:pPr>
              <w:rPr>
                <w:b/>
              </w:rPr>
            </w:pPr>
          </w:p>
        </w:tc>
      </w:tr>
      <w:tr w:rsidR="0039102C" w14:paraId="02C2326C" w14:textId="77777777" w:rsidTr="00345119">
        <w:tc>
          <w:tcPr>
            <w:tcW w:w="9576" w:type="dxa"/>
          </w:tcPr>
          <w:p w14:paraId="0034DFA8" w14:textId="77777777" w:rsidR="008423E4" w:rsidRPr="00A8133F" w:rsidRDefault="00CA0C7B" w:rsidP="008E55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774D580" w14:textId="77777777" w:rsidR="008423E4" w:rsidRDefault="008423E4" w:rsidP="008E55F0"/>
          <w:p w14:paraId="6CCC6E5C" w14:textId="77777777" w:rsidR="008423E4" w:rsidRDefault="00CA0C7B" w:rsidP="008E5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F5D008C" w14:textId="77777777" w:rsidR="00366A24" w:rsidRDefault="00366A24" w:rsidP="008E5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720DCC5" w14:textId="7777F0C7" w:rsidR="008E55F0" w:rsidRPr="00233FDB" w:rsidRDefault="008E55F0" w:rsidP="008E55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39102C" w14:paraId="01B6B819" w14:textId="77777777" w:rsidTr="00345119">
        <w:tc>
          <w:tcPr>
            <w:tcW w:w="9576" w:type="dxa"/>
          </w:tcPr>
          <w:p w14:paraId="23AEEE11" w14:textId="77777777" w:rsidR="00536828" w:rsidRDefault="00CA0C7B" w:rsidP="008E55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FBE17B5" w14:textId="77777777" w:rsidR="001E514E" w:rsidRDefault="001E514E" w:rsidP="008E55F0">
            <w:pPr>
              <w:jc w:val="both"/>
            </w:pPr>
          </w:p>
          <w:p w14:paraId="3BFF2321" w14:textId="7A55D4CE" w:rsidR="001E514E" w:rsidRDefault="00CA0C7B" w:rsidP="008E55F0">
            <w:pPr>
              <w:jc w:val="both"/>
            </w:pPr>
            <w:r>
              <w:t xml:space="preserve">C.S.H.B. 317 </w:t>
            </w:r>
            <w:r w:rsidR="007B0CBB">
              <w:t>except</w:t>
            </w:r>
            <w:r w:rsidR="0002378E">
              <w:t>s</w:t>
            </w:r>
            <w:r w:rsidR="007B0CBB">
              <w:t xml:space="preserve"> </w:t>
            </w:r>
            <w:r>
              <w:t xml:space="preserve">an insurer </w:t>
            </w:r>
            <w:r w:rsidR="007B0CBB">
              <w:t>from the prohibition against charging</w:t>
            </w:r>
            <w:r>
              <w:t xml:space="preserve"> an applicable individual or a group to which the individual belongs a different rate than </w:t>
            </w:r>
            <w:r w:rsidR="001F3736">
              <w:t xml:space="preserve">the rate charged to </w:t>
            </w:r>
            <w:r>
              <w:t xml:space="preserve">other individuals or groups, as </w:t>
            </w:r>
            <w:r>
              <w:t>applicable, based so</w:t>
            </w:r>
            <w:r w:rsidR="0002378E">
              <w:t>lely on the individual's status</w:t>
            </w:r>
            <w:r>
              <w:t xml:space="preserve"> as a living organ donor if that rate differential </w:t>
            </w:r>
            <w:r w:rsidRPr="00A50286">
              <w:t>is based on sound actuarial principles or sound underwriting related to actual or anticipated loss e</w:t>
            </w:r>
            <w:r>
              <w:t>xperience for a particular risk.</w:t>
            </w:r>
          </w:p>
          <w:p w14:paraId="72F715EE" w14:textId="0BB148E5" w:rsidR="0097173F" w:rsidRDefault="0097173F" w:rsidP="008E55F0">
            <w:pPr>
              <w:jc w:val="both"/>
            </w:pPr>
          </w:p>
          <w:p w14:paraId="2B46204E" w14:textId="53ADE297" w:rsidR="0097173F" w:rsidRPr="001E514E" w:rsidRDefault="00CA0C7B" w:rsidP="008E55F0">
            <w:pPr>
              <w:jc w:val="both"/>
            </w:pPr>
            <w:r>
              <w:t>The substitute diffe</w:t>
            </w:r>
            <w:r>
              <w:t>rs from the original in other minor or nonsubstantive ways to conform to certain bill drafting conventions.</w:t>
            </w:r>
          </w:p>
          <w:p w14:paraId="62C98B73" w14:textId="6786B0C3" w:rsidR="006248BF" w:rsidRDefault="006248BF" w:rsidP="008E55F0">
            <w:pPr>
              <w:jc w:val="both"/>
            </w:pPr>
          </w:p>
          <w:p w14:paraId="555A3BD8" w14:textId="6EE92502" w:rsidR="004F01D1" w:rsidRPr="004F01D1" w:rsidRDefault="004F01D1" w:rsidP="008E55F0">
            <w:pPr>
              <w:jc w:val="both"/>
            </w:pPr>
          </w:p>
        </w:tc>
      </w:tr>
      <w:tr w:rsidR="0039102C" w14:paraId="4AA6DCF1" w14:textId="77777777" w:rsidTr="00345119">
        <w:tc>
          <w:tcPr>
            <w:tcW w:w="9576" w:type="dxa"/>
          </w:tcPr>
          <w:p w14:paraId="4550DFCF" w14:textId="77777777" w:rsidR="00536828" w:rsidRPr="009C1E9A" w:rsidRDefault="00536828" w:rsidP="008E55F0">
            <w:pPr>
              <w:rPr>
                <w:b/>
                <w:u w:val="single"/>
              </w:rPr>
            </w:pPr>
          </w:p>
        </w:tc>
      </w:tr>
      <w:tr w:rsidR="0039102C" w14:paraId="2ED8B6D3" w14:textId="77777777" w:rsidTr="00345119">
        <w:tc>
          <w:tcPr>
            <w:tcW w:w="9576" w:type="dxa"/>
          </w:tcPr>
          <w:p w14:paraId="46C280EC" w14:textId="77777777" w:rsidR="00536828" w:rsidRPr="00536828" w:rsidRDefault="00536828" w:rsidP="008E55F0">
            <w:pPr>
              <w:jc w:val="both"/>
            </w:pPr>
          </w:p>
        </w:tc>
      </w:tr>
    </w:tbl>
    <w:p w14:paraId="6F15018B" w14:textId="77777777" w:rsidR="004108C3" w:rsidRPr="008423E4" w:rsidRDefault="004108C3" w:rsidP="008E55F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C5384" w14:textId="77777777" w:rsidR="00000000" w:rsidRDefault="00CA0C7B">
      <w:r>
        <w:separator/>
      </w:r>
    </w:p>
  </w:endnote>
  <w:endnote w:type="continuationSeparator" w:id="0">
    <w:p w14:paraId="5273D4FB" w14:textId="77777777" w:rsidR="00000000" w:rsidRDefault="00C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4DD7" w14:textId="77777777" w:rsidR="001A5F1B" w:rsidRDefault="001A5F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9102C" w14:paraId="221443E5" w14:textId="77777777" w:rsidTr="009C1E9A">
      <w:trPr>
        <w:cantSplit/>
      </w:trPr>
      <w:tc>
        <w:tcPr>
          <w:tcW w:w="0" w:type="pct"/>
        </w:tcPr>
        <w:p w14:paraId="59D228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E5B8A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DF455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8753AF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6497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02C" w14:paraId="003E8861" w14:textId="77777777" w:rsidTr="009C1E9A">
      <w:trPr>
        <w:cantSplit/>
      </w:trPr>
      <w:tc>
        <w:tcPr>
          <w:tcW w:w="0" w:type="pct"/>
        </w:tcPr>
        <w:p w14:paraId="7E7D65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BAB0FDA" w14:textId="4EBECBE1" w:rsidR="00EC379B" w:rsidRPr="009C1E9A" w:rsidRDefault="00CA0C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15601</w:t>
          </w:r>
        </w:p>
      </w:tc>
      <w:tc>
        <w:tcPr>
          <w:tcW w:w="2453" w:type="pct"/>
        </w:tcPr>
        <w:p w14:paraId="5C8BF4E3" w14:textId="5838BEAF" w:rsidR="00EC379B" w:rsidRDefault="00CA0C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32F8F">
            <w:t>21.74.478</w:t>
          </w:r>
          <w:r>
            <w:fldChar w:fldCharType="end"/>
          </w:r>
        </w:p>
      </w:tc>
    </w:tr>
    <w:tr w:rsidR="0039102C" w14:paraId="7B1A75A4" w14:textId="77777777" w:rsidTr="009C1E9A">
      <w:trPr>
        <w:cantSplit/>
      </w:trPr>
      <w:tc>
        <w:tcPr>
          <w:tcW w:w="0" w:type="pct"/>
        </w:tcPr>
        <w:p w14:paraId="7A02918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95F343" w14:textId="37BB8692" w:rsidR="00EC379B" w:rsidRPr="009C1E9A" w:rsidRDefault="00CA0C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8270</w:t>
          </w:r>
        </w:p>
      </w:tc>
      <w:tc>
        <w:tcPr>
          <w:tcW w:w="2453" w:type="pct"/>
        </w:tcPr>
        <w:p w14:paraId="46A225E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5961E6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9102C" w14:paraId="14872AE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120154E" w14:textId="1BF38CD7" w:rsidR="00EC379B" w:rsidRDefault="00CA0C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E55F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6DE2D9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084E8B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CD783" w14:textId="77777777" w:rsidR="001A5F1B" w:rsidRDefault="001A5F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E1D6D" w14:textId="77777777" w:rsidR="00000000" w:rsidRDefault="00CA0C7B">
      <w:r>
        <w:separator/>
      </w:r>
    </w:p>
  </w:footnote>
  <w:footnote w:type="continuationSeparator" w:id="0">
    <w:p w14:paraId="191BB8A1" w14:textId="77777777" w:rsidR="00000000" w:rsidRDefault="00CA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A85B" w14:textId="77777777" w:rsidR="001A5F1B" w:rsidRDefault="001A5F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C4CCD" w14:textId="77777777" w:rsidR="001A5F1B" w:rsidRDefault="001A5F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170D" w14:textId="77777777" w:rsidR="001A5F1B" w:rsidRDefault="001A5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7E03"/>
    <w:multiLevelType w:val="hybridMultilevel"/>
    <w:tmpl w:val="0D7CCE44"/>
    <w:lvl w:ilvl="0" w:tplc="6D78EEE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B23E78B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7DC489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52C051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C224AA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9D0DD5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AE6E23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BCCCDB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DA883D3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5F2BDB"/>
    <w:multiLevelType w:val="hybridMultilevel"/>
    <w:tmpl w:val="361C32B6"/>
    <w:lvl w:ilvl="0" w:tplc="EBDC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C1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657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2BF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8B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CD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44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EF0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4DA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9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378E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606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5F1B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514E"/>
    <w:rsid w:val="001E655E"/>
    <w:rsid w:val="001F3736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0DF9"/>
    <w:rsid w:val="00361FE9"/>
    <w:rsid w:val="003624F2"/>
    <w:rsid w:val="00363854"/>
    <w:rsid w:val="00364315"/>
    <w:rsid w:val="003643E2"/>
    <w:rsid w:val="00366A24"/>
    <w:rsid w:val="00370155"/>
    <w:rsid w:val="003712D5"/>
    <w:rsid w:val="003747DF"/>
    <w:rsid w:val="00377E3D"/>
    <w:rsid w:val="003847E8"/>
    <w:rsid w:val="0038731D"/>
    <w:rsid w:val="00387B60"/>
    <w:rsid w:val="00390098"/>
    <w:rsid w:val="0039102C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4C4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239"/>
    <w:rsid w:val="004A03F7"/>
    <w:rsid w:val="004A081C"/>
    <w:rsid w:val="004A123F"/>
    <w:rsid w:val="004A2172"/>
    <w:rsid w:val="004A664E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01D1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6828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579"/>
    <w:rsid w:val="00614633"/>
    <w:rsid w:val="00614BC8"/>
    <w:rsid w:val="006151FB"/>
    <w:rsid w:val="00617411"/>
    <w:rsid w:val="006248BF"/>
    <w:rsid w:val="006249CB"/>
    <w:rsid w:val="006272DD"/>
    <w:rsid w:val="00630963"/>
    <w:rsid w:val="00631897"/>
    <w:rsid w:val="00632928"/>
    <w:rsid w:val="006330DA"/>
    <w:rsid w:val="00633262"/>
    <w:rsid w:val="00633460"/>
    <w:rsid w:val="00634DCA"/>
    <w:rsid w:val="006402E7"/>
    <w:rsid w:val="00640CB6"/>
    <w:rsid w:val="00641B42"/>
    <w:rsid w:val="00645750"/>
    <w:rsid w:val="00650692"/>
    <w:rsid w:val="006508D3"/>
    <w:rsid w:val="00650AFA"/>
    <w:rsid w:val="00652A3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4519B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35B8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0CBB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EC9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742"/>
    <w:rsid w:val="008A3FDF"/>
    <w:rsid w:val="008A5467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E55F0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6D74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173F"/>
    <w:rsid w:val="00972797"/>
    <w:rsid w:val="0097279D"/>
    <w:rsid w:val="00972E36"/>
    <w:rsid w:val="009735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286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376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1C34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E2E"/>
    <w:rsid w:val="00C615D4"/>
    <w:rsid w:val="00C61B5D"/>
    <w:rsid w:val="00C61C0E"/>
    <w:rsid w:val="00C61C64"/>
    <w:rsid w:val="00C61CDA"/>
    <w:rsid w:val="00C70A15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C7B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2F8F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0904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973CE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0DF0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687A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BD3828-F81D-46F7-B5C6-37CCDCB6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35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3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35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3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359D"/>
    <w:rPr>
      <w:b/>
      <w:bCs/>
    </w:rPr>
  </w:style>
  <w:style w:type="paragraph" w:styleId="ListParagraph">
    <w:name w:val="List Paragraph"/>
    <w:basedOn w:val="Normal"/>
    <w:uiPriority w:val="34"/>
    <w:qFormat/>
    <w:rsid w:val="006248BF"/>
    <w:pPr>
      <w:ind w:left="720"/>
      <w:contextualSpacing/>
    </w:pPr>
  </w:style>
  <w:style w:type="paragraph" w:styleId="Revision">
    <w:name w:val="Revision"/>
    <w:hidden/>
    <w:uiPriority w:val="99"/>
    <w:semiHidden/>
    <w:rsid w:val="00BE1C34"/>
    <w:rPr>
      <w:sz w:val="24"/>
      <w:szCs w:val="24"/>
    </w:rPr>
  </w:style>
  <w:style w:type="character" w:styleId="Hyperlink">
    <w:name w:val="Hyperlink"/>
    <w:basedOn w:val="DefaultParagraphFont"/>
    <w:unhideWhenUsed/>
    <w:rsid w:val="00BE1C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72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2637</Characters>
  <Application>Microsoft Office Word</Application>
  <DocSecurity>4</DocSecurity>
  <Lines>70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HB00317 (Committee Report (Substituted))</vt:lpstr>
    </vt:vector>
  </TitlesOfParts>
  <Company>State of Texas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15601</dc:subject>
  <dc:creator>State of Texas</dc:creator>
  <dc:description>HB 317 by Murr-(H)Insurance (Substitute Document Number: 87R 8270)</dc:description>
  <cp:lastModifiedBy>Emma Bodisch</cp:lastModifiedBy>
  <cp:revision>2</cp:revision>
  <cp:lastPrinted>2003-11-26T17:21:00Z</cp:lastPrinted>
  <dcterms:created xsi:type="dcterms:W3CDTF">2021-03-22T14:34:00Z</dcterms:created>
  <dcterms:modified xsi:type="dcterms:W3CDTF">2021-03-22T14:34:00Z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21.74.478</vt:lpwstr>
  </property>
</Properties>
</file>