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7EA2" w14:paraId="5F84CAA7" w14:textId="77777777" w:rsidTr="00345119">
        <w:tc>
          <w:tcPr>
            <w:tcW w:w="9576" w:type="dxa"/>
            <w:noWrap/>
          </w:tcPr>
          <w:p w14:paraId="39071386" w14:textId="77777777" w:rsidR="008423E4" w:rsidRPr="0022177D" w:rsidRDefault="00435847" w:rsidP="00A968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5F53BF" w14:textId="77777777" w:rsidR="008423E4" w:rsidRPr="0022177D" w:rsidRDefault="008423E4" w:rsidP="00A96859">
      <w:pPr>
        <w:jc w:val="center"/>
      </w:pPr>
    </w:p>
    <w:p w14:paraId="581C6927" w14:textId="77777777" w:rsidR="008423E4" w:rsidRPr="00B31F0E" w:rsidRDefault="008423E4" w:rsidP="00A96859"/>
    <w:p w14:paraId="54FAE1CC" w14:textId="77777777" w:rsidR="008423E4" w:rsidRPr="00742794" w:rsidRDefault="008423E4" w:rsidP="00A9685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7EA2" w14:paraId="3B9D67B3" w14:textId="77777777" w:rsidTr="00345119">
        <w:tc>
          <w:tcPr>
            <w:tcW w:w="9576" w:type="dxa"/>
          </w:tcPr>
          <w:p w14:paraId="37B526C7" w14:textId="3DF72430" w:rsidR="008423E4" w:rsidRPr="00861995" w:rsidRDefault="00435847" w:rsidP="00A96859">
            <w:pPr>
              <w:jc w:val="right"/>
            </w:pPr>
            <w:r>
              <w:t>H.B. 323</w:t>
            </w:r>
          </w:p>
        </w:tc>
      </w:tr>
      <w:tr w:rsidR="00F77EA2" w14:paraId="3958CA77" w14:textId="77777777" w:rsidTr="00345119">
        <w:tc>
          <w:tcPr>
            <w:tcW w:w="9576" w:type="dxa"/>
          </w:tcPr>
          <w:p w14:paraId="20A01BD7" w14:textId="52CA7E5B" w:rsidR="008423E4" w:rsidRPr="00861995" w:rsidRDefault="00435847" w:rsidP="00E50857">
            <w:pPr>
              <w:jc w:val="right"/>
            </w:pPr>
            <w:r>
              <w:t xml:space="preserve">By: </w:t>
            </w:r>
            <w:r w:rsidR="00E50857">
              <w:t>King, Phil</w:t>
            </w:r>
          </w:p>
        </w:tc>
      </w:tr>
      <w:tr w:rsidR="00F77EA2" w14:paraId="4EB9BDAF" w14:textId="77777777" w:rsidTr="00345119">
        <w:tc>
          <w:tcPr>
            <w:tcW w:w="9576" w:type="dxa"/>
          </w:tcPr>
          <w:p w14:paraId="1E5C1C63" w14:textId="3F2376BE" w:rsidR="008423E4" w:rsidRPr="00861995" w:rsidRDefault="00435847" w:rsidP="00A96859">
            <w:pPr>
              <w:jc w:val="right"/>
            </w:pPr>
            <w:r>
              <w:t>Homeland Security &amp; Public Safety</w:t>
            </w:r>
          </w:p>
        </w:tc>
      </w:tr>
      <w:tr w:rsidR="00F77EA2" w14:paraId="3728EF92" w14:textId="77777777" w:rsidTr="00345119">
        <w:tc>
          <w:tcPr>
            <w:tcW w:w="9576" w:type="dxa"/>
          </w:tcPr>
          <w:p w14:paraId="46AEB37F" w14:textId="142AECA3" w:rsidR="008423E4" w:rsidRDefault="00435847" w:rsidP="00A96859">
            <w:pPr>
              <w:jc w:val="right"/>
            </w:pPr>
            <w:r>
              <w:t>Committee Report (Unamended)</w:t>
            </w:r>
          </w:p>
        </w:tc>
      </w:tr>
    </w:tbl>
    <w:p w14:paraId="387B851D" w14:textId="77777777" w:rsidR="008423E4" w:rsidRDefault="008423E4" w:rsidP="00A96859">
      <w:pPr>
        <w:tabs>
          <w:tab w:val="right" w:pos="9360"/>
        </w:tabs>
      </w:pPr>
    </w:p>
    <w:p w14:paraId="75AE718A" w14:textId="77777777" w:rsidR="008423E4" w:rsidRDefault="008423E4" w:rsidP="00A96859"/>
    <w:p w14:paraId="4046AA54" w14:textId="77777777" w:rsidR="008423E4" w:rsidRDefault="008423E4" w:rsidP="00A9685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7EA2" w14:paraId="24BE0BA5" w14:textId="77777777" w:rsidTr="00345119">
        <w:tc>
          <w:tcPr>
            <w:tcW w:w="9576" w:type="dxa"/>
          </w:tcPr>
          <w:p w14:paraId="72012145" w14:textId="77777777" w:rsidR="008423E4" w:rsidRPr="00A8133F" w:rsidRDefault="00435847" w:rsidP="00A968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663C38" w14:textId="77777777" w:rsidR="008423E4" w:rsidRDefault="008423E4" w:rsidP="00A96859"/>
          <w:p w14:paraId="5D20F666" w14:textId="59C292EE" w:rsidR="008423E4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nationwide regarding the accountability and performance of law enforcement agencies. There have been calls to incentivize more </w:t>
            </w:r>
            <w:r w:rsidR="00221140">
              <w:t xml:space="preserve">law enforcement </w:t>
            </w:r>
            <w:r>
              <w:t xml:space="preserve">agencies </w:t>
            </w:r>
            <w:r w:rsidR="00221140">
              <w:t xml:space="preserve">in Texas </w:t>
            </w:r>
            <w:r>
              <w:t xml:space="preserve">to seek accreditation through </w:t>
            </w:r>
            <w:r w:rsidR="00F21C76">
              <w:t>entities</w:t>
            </w:r>
            <w:r>
              <w:t xml:space="preserve"> such as the </w:t>
            </w:r>
            <w:r w:rsidR="0064667F" w:rsidRPr="0070004C">
              <w:t>Texas Police Chiefs Association Law Enforcement Best Practices Recognition Program</w:t>
            </w:r>
            <w:r>
              <w:t xml:space="preserve"> by establishing a grant program. Investing in law enforcement agencies </w:t>
            </w:r>
            <w:r w:rsidR="00D76F47">
              <w:t>through</w:t>
            </w:r>
            <w:r>
              <w:t xml:space="preserve"> a grant program will </w:t>
            </w:r>
            <w:r w:rsidR="001F165C">
              <w:t>help to</w:t>
            </w:r>
            <w:r>
              <w:t xml:space="preserve"> professionaliz</w:t>
            </w:r>
            <w:r w:rsidR="001F165C">
              <w:t>e</w:t>
            </w:r>
            <w:r>
              <w:t xml:space="preserve"> the industry, creat</w:t>
            </w:r>
            <w:r w:rsidR="001F165C">
              <w:t>e</w:t>
            </w:r>
            <w:r>
              <w:t xml:space="preserve"> an environment that fosters better communicati</w:t>
            </w:r>
            <w:r>
              <w:t xml:space="preserve">on between local </w:t>
            </w:r>
            <w:r w:rsidR="001F165C">
              <w:t>governments</w:t>
            </w:r>
            <w:r>
              <w:t xml:space="preserve"> and </w:t>
            </w:r>
            <w:r w:rsidR="00434ED3">
              <w:t xml:space="preserve">law enforcement </w:t>
            </w:r>
            <w:r>
              <w:t>agencies, and ensur</w:t>
            </w:r>
            <w:r w:rsidR="001F165C">
              <w:t>e</w:t>
            </w:r>
            <w:r>
              <w:t xml:space="preserve"> the highest standard of excellence in law enforcement. </w:t>
            </w:r>
            <w:r w:rsidR="001F165C">
              <w:t>H.B. 323 seeks to address this issue by creating a grant program t</w:t>
            </w:r>
            <w:r w:rsidR="001F165C" w:rsidRPr="001F165C">
              <w:t>o provide financial assistance to law enforcement agenc</w:t>
            </w:r>
            <w:r w:rsidR="001F165C">
              <w:t>ies</w:t>
            </w:r>
            <w:r w:rsidR="001F165C" w:rsidRPr="001F165C">
              <w:t xml:space="preserve"> in Texas</w:t>
            </w:r>
            <w:r w:rsidR="001F165C">
              <w:t xml:space="preserve"> for certain accreditation purposes</w:t>
            </w:r>
            <w:r>
              <w:t>.</w:t>
            </w:r>
          </w:p>
          <w:p w14:paraId="5499A0E3" w14:textId="77777777" w:rsidR="008423E4" w:rsidRPr="00E26B13" w:rsidRDefault="008423E4" w:rsidP="00A96859">
            <w:pPr>
              <w:rPr>
                <w:b/>
              </w:rPr>
            </w:pPr>
          </w:p>
        </w:tc>
      </w:tr>
      <w:tr w:rsidR="00F77EA2" w14:paraId="6620308F" w14:textId="77777777" w:rsidTr="00345119">
        <w:tc>
          <w:tcPr>
            <w:tcW w:w="9576" w:type="dxa"/>
          </w:tcPr>
          <w:p w14:paraId="29D170FD" w14:textId="77777777" w:rsidR="0017725B" w:rsidRDefault="00435847" w:rsidP="00A968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E86EA7" w14:textId="77777777" w:rsidR="0017725B" w:rsidRDefault="0017725B" w:rsidP="00A96859">
            <w:pPr>
              <w:rPr>
                <w:b/>
                <w:u w:val="single"/>
              </w:rPr>
            </w:pPr>
          </w:p>
          <w:p w14:paraId="62C08710" w14:textId="2FE7E952" w:rsidR="00696243" w:rsidRPr="00696243" w:rsidRDefault="00435847" w:rsidP="00A9685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6D580E0E" w14:textId="77777777" w:rsidR="0017725B" w:rsidRPr="0017725B" w:rsidRDefault="0017725B" w:rsidP="00A96859">
            <w:pPr>
              <w:rPr>
                <w:b/>
                <w:u w:val="single"/>
              </w:rPr>
            </w:pPr>
          </w:p>
        </w:tc>
      </w:tr>
      <w:tr w:rsidR="00F77EA2" w14:paraId="258559B5" w14:textId="77777777" w:rsidTr="00345119">
        <w:tc>
          <w:tcPr>
            <w:tcW w:w="9576" w:type="dxa"/>
          </w:tcPr>
          <w:p w14:paraId="7BF3D95A" w14:textId="77777777" w:rsidR="008423E4" w:rsidRPr="00A8133F" w:rsidRDefault="00435847" w:rsidP="00A968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E6581E" w14:textId="77777777" w:rsidR="008423E4" w:rsidRDefault="008423E4" w:rsidP="00A96859"/>
          <w:p w14:paraId="6B7CEC2A" w14:textId="2832A1AF" w:rsidR="00696243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6295BD20" w14:textId="77777777" w:rsidR="008423E4" w:rsidRPr="00E21FDC" w:rsidRDefault="008423E4" w:rsidP="00A96859">
            <w:pPr>
              <w:rPr>
                <w:b/>
              </w:rPr>
            </w:pPr>
          </w:p>
        </w:tc>
      </w:tr>
      <w:tr w:rsidR="00F77EA2" w14:paraId="77323123" w14:textId="77777777" w:rsidTr="00345119">
        <w:tc>
          <w:tcPr>
            <w:tcW w:w="9576" w:type="dxa"/>
          </w:tcPr>
          <w:p w14:paraId="07CF2982" w14:textId="77777777" w:rsidR="008423E4" w:rsidRPr="00A8133F" w:rsidRDefault="00435847" w:rsidP="00A968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780EE8" w14:textId="77777777" w:rsidR="008423E4" w:rsidRDefault="008423E4" w:rsidP="00A96859"/>
          <w:p w14:paraId="07A42A13" w14:textId="06DEA654" w:rsidR="00D575F4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323 amends the Government Code to </w:t>
            </w:r>
            <w:r w:rsidR="00FA7A5E">
              <w:t xml:space="preserve">require the criminal justice division </w:t>
            </w:r>
            <w:r w:rsidR="00D32E12">
              <w:t xml:space="preserve">of </w:t>
            </w:r>
            <w:r w:rsidR="00FA7A5E">
              <w:t xml:space="preserve">the governor's office to </w:t>
            </w:r>
            <w:r w:rsidR="00FA7A5E" w:rsidRPr="00FA7A5E">
              <w:t xml:space="preserve">establish and administer a grant program to provide financial assistance to a law enforcement agency in </w:t>
            </w:r>
            <w:r w:rsidR="00FA7A5E">
              <w:t>Texas</w:t>
            </w:r>
            <w:r w:rsidR="00FA7A5E" w:rsidRPr="00FA7A5E">
              <w:t xml:space="preserve"> for </w:t>
            </w:r>
            <w:r>
              <w:t xml:space="preserve">the following </w:t>
            </w:r>
            <w:r w:rsidR="00FA7A5E" w:rsidRPr="00FA7A5E">
              <w:t>purposes</w:t>
            </w:r>
            <w:r>
              <w:t>:</w:t>
            </w:r>
          </w:p>
          <w:p w14:paraId="5EE81BC2" w14:textId="269FA435" w:rsidR="00D575F4" w:rsidRDefault="00435847" w:rsidP="00A968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0004C">
              <w:t>obtaining or maintaining recognition through the Texas Police Chiefs Association Law Enforcement Best Practices Recognition Program</w:t>
            </w:r>
            <w:r>
              <w:t xml:space="preserve">; or </w:t>
            </w:r>
          </w:p>
          <w:p w14:paraId="76D8B280" w14:textId="4B4C1F4C" w:rsidR="00D575F4" w:rsidRDefault="00435847" w:rsidP="00A9685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becoming accredited</w:t>
            </w:r>
            <w:r w:rsidR="005D48CC">
              <w:t xml:space="preserve"> </w:t>
            </w:r>
            <w:r>
              <w:t xml:space="preserve">or </w:t>
            </w:r>
            <w:r w:rsidR="005D48CC">
              <w:t>maintaining accreditation</w:t>
            </w:r>
            <w:r>
              <w:t xml:space="preserve"> </w:t>
            </w:r>
            <w:r w:rsidRPr="0070004C">
              <w:t>by the Commission on Accreditation for Law Enf</w:t>
            </w:r>
            <w:r w:rsidRPr="0070004C">
              <w:t>orcement Agencies, Inc</w:t>
            </w:r>
            <w:r w:rsidR="001C234A">
              <w:t>.</w:t>
            </w:r>
            <w:r w:rsidR="00000B5C">
              <w:t>,</w:t>
            </w:r>
            <w:r w:rsidR="001C234A">
              <w:t xml:space="preserve"> or another </w:t>
            </w:r>
            <w:r w:rsidR="0017038A">
              <w:t xml:space="preserve">association or organization </w:t>
            </w:r>
            <w:r w:rsidR="005D48CC">
              <w:t xml:space="preserve">designated as an accrediting agency by the division and the </w:t>
            </w:r>
            <w:r w:rsidR="005D48CC" w:rsidRPr="005D48CC">
              <w:t>Texas Commission on Law Enforcement</w:t>
            </w:r>
            <w:r w:rsidR="00772670">
              <w:t xml:space="preserve"> (TCOLE)</w:t>
            </w:r>
            <w:r w:rsidR="003F33E8">
              <w:t xml:space="preserve"> in the manner established by the bill</w:t>
            </w:r>
            <w:r w:rsidR="005D48CC">
              <w:t xml:space="preserve">. </w:t>
            </w:r>
          </w:p>
          <w:p w14:paraId="2E980410" w14:textId="77777777" w:rsidR="00B05CA6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caps </w:t>
            </w:r>
            <w:r w:rsidR="00965411">
              <w:t xml:space="preserve">the amount of </w:t>
            </w:r>
            <w:r w:rsidR="0069465E">
              <w:t>a</w:t>
            </w:r>
            <w:r>
              <w:t xml:space="preserve"> grant </w:t>
            </w:r>
            <w:r w:rsidR="0069465E">
              <w:t>at $50,000</w:t>
            </w:r>
            <w:r w:rsidR="00DE4214">
              <w:t xml:space="preserve"> and authorizes the division to use </w:t>
            </w:r>
            <w:r w:rsidR="00DE4214" w:rsidRPr="00DE4214">
              <w:t>any</w:t>
            </w:r>
            <w:r w:rsidR="00965411">
              <w:t xml:space="preserve"> available</w:t>
            </w:r>
            <w:r w:rsidR="00DE4214" w:rsidRPr="00DE4214">
              <w:t xml:space="preserve"> revenue for</w:t>
            </w:r>
            <w:r w:rsidR="00DE4214">
              <w:t xml:space="preserve"> the grant program</w:t>
            </w:r>
            <w:r>
              <w:t>.</w:t>
            </w:r>
            <w:r w:rsidR="0069465E">
              <w:t xml:space="preserve"> </w:t>
            </w:r>
          </w:p>
          <w:p w14:paraId="28AE1386" w14:textId="77777777" w:rsidR="00B05CA6" w:rsidRDefault="00B05CA6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F5874D" w14:textId="17D6283F" w:rsidR="008149E8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323 </w:t>
            </w:r>
            <w:r w:rsidR="0069465E">
              <w:t xml:space="preserve">requires the </w:t>
            </w:r>
            <w:r w:rsidR="0069465E" w:rsidRPr="0069465E">
              <w:t>division</w:t>
            </w:r>
            <w:r w:rsidR="0069465E">
              <w:t xml:space="preserve"> to</w:t>
            </w:r>
            <w:r>
              <w:t xml:space="preserve"> do the following:</w:t>
            </w:r>
          </w:p>
          <w:p w14:paraId="41A7BB8A" w14:textId="380619CE" w:rsidR="008149E8" w:rsidRDefault="00435847" w:rsidP="00A9685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</w:t>
            </w:r>
            <w:r w:rsidR="00696243">
              <w:t>eligibility criteria for grant applicants,</w:t>
            </w:r>
            <w:r w:rsidR="00D575F4">
              <w:t xml:space="preserve"> </w:t>
            </w:r>
            <w:r w:rsidR="00696243">
              <w:t>guidelines</w:t>
            </w:r>
            <w:r w:rsidR="008C0820">
              <w:t xml:space="preserve"> relating to grant amounts,</w:t>
            </w:r>
            <w:r w:rsidR="00696243">
              <w:t xml:space="preserve"> </w:t>
            </w:r>
            <w:r w:rsidR="00D32E12">
              <w:t xml:space="preserve">and </w:t>
            </w:r>
            <w:r w:rsidR="008C0820">
              <w:t xml:space="preserve">certain </w:t>
            </w:r>
            <w:r w:rsidR="00D32E12">
              <w:t xml:space="preserve">procedures </w:t>
            </w:r>
            <w:r w:rsidR="00696243">
              <w:t xml:space="preserve">relating to </w:t>
            </w:r>
            <w:r w:rsidR="008C0820">
              <w:t xml:space="preserve">grant applications and </w:t>
            </w:r>
            <w:r w:rsidR="00D575F4">
              <w:t xml:space="preserve">the </w:t>
            </w:r>
            <w:r w:rsidR="00696243">
              <w:t>administration of the grant program</w:t>
            </w:r>
            <w:r>
              <w:t>; and</w:t>
            </w:r>
          </w:p>
          <w:p w14:paraId="10180A05" w14:textId="3040C763" w:rsidR="008149E8" w:rsidRDefault="00435847" w:rsidP="00A9685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696243">
              <w:t>submit a report to the Legislative Budget Board</w:t>
            </w:r>
            <w:r w:rsidR="00696243">
              <w:t xml:space="preserve">, not </w:t>
            </w:r>
            <w:r w:rsidR="00696243" w:rsidRPr="00696243">
              <w:t>later than December 1 of each year,</w:t>
            </w:r>
            <w:r w:rsidR="00696243">
              <w:t xml:space="preserve"> </w:t>
            </w:r>
            <w:r w:rsidR="00696243" w:rsidRPr="00696243">
              <w:t>that provides</w:t>
            </w:r>
            <w:r w:rsidR="008C0820">
              <w:t xml:space="preserve"> for the preceding state fiscal year</w:t>
            </w:r>
            <w:r w:rsidR="00696243" w:rsidRPr="00696243">
              <w:t xml:space="preserve"> the name of each law enforcement agency that applied for a grant</w:t>
            </w:r>
            <w:r w:rsidR="00696243">
              <w:t xml:space="preserve"> and </w:t>
            </w:r>
            <w:r w:rsidR="00696243" w:rsidRPr="00696243">
              <w:t>the amount of money distributed to each</w:t>
            </w:r>
            <w:r w:rsidR="00696243">
              <w:t xml:space="preserve"> agency </w:t>
            </w:r>
            <w:r w:rsidR="008C0820">
              <w:t>that received a grant</w:t>
            </w:r>
            <w:r>
              <w:t>.</w:t>
            </w:r>
            <w:r w:rsidR="00696243">
              <w:t xml:space="preserve"> </w:t>
            </w:r>
          </w:p>
          <w:p w14:paraId="65E0BA56" w14:textId="1FE31515" w:rsidR="009C36CD" w:rsidRPr="009C36CD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B05CA6">
              <w:t>requires the division, with TCOLE's assistance, to periodically review associations and organizations that establish standar</w:t>
            </w:r>
            <w:r>
              <w:t>d</w:t>
            </w:r>
            <w:r w:rsidR="00B05CA6">
              <w:t>s of practice for</w:t>
            </w:r>
            <w:r>
              <w:t xml:space="preserve"> </w:t>
            </w:r>
            <w:r w:rsidR="00B05CA6">
              <w:t xml:space="preserve">law enforcement agencies and </w:t>
            </w:r>
            <w:r>
              <w:t xml:space="preserve">that </w:t>
            </w:r>
            <w:r w:rsidR="00B05CA6">
              <w:t>offer accreditation to agencies that meet those standards, and authorizes TCOLE to designate th</w:t>
            </w:r>
            <w:r w:rsidR="00F21C76">
              <w:t>ose</w:t>
            </w:r>
            <w:r>
              <w:t xml:space="preserve"> associations or organizations</w:t>
            </w:r>
            <w:r w:rsidR="00B05CA6">
              <w:t xml:space="preserve"> as accrediting agencies for the bill's purposes on the division's determination that </w:t>
            </w:r>
            <w:r>
              <w:t>their</w:t>
            </w:r>
            <w:r w:rsidR="00B05CA6">
              <w:t xml:space="preserve"> accreditation </w:t>
            </w:r>
            <w:r>
              <w:t>of law enforcement agencies in Texas</w:t>
            </w:r>
            <w:r w:rsidR="00B05CA6">
              <w:t xml:space="preserve"> would benefit public safety</w:t>
            </w:r>
            <w:r>
              <w:t>.</w:t>
            </w:r>
          </w:p>
          <w:p w14:paraId="79597032" w14:textId="77777777" w:rsidR="008423E4" w:rsidRPr="00835628" w:rsidRDefault="008423E4" w:rsidP="00A96859">
            <w:pPr>
              <w:rPr>
                <w:b/>
              </w:rPr>
            </w:pPr>
          </w:p>
        </w:tc>
      </w:tr>
      <w:tr w:rsidR="00F77EA2" w14:paraId="6CD5E5D7" w14:textId="77777777" w:rsidTr="00345119">
        <w:tc>
          <w:tcPr>
            <w:tcW w:w="9576" w:type="dxa"/>
          </w:tcPr>
          <w:p w14:paraId="5B93F909" w14:textId="77777777" w:rsidR="008423E4" w:rsidRPr="00A8133F" w:rsidRDefault="00435847" w:rsidP="00A968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6C5A8B5" w14:textId="77777777" w:rsidR="008423E4" w:rsidRDefault="008423E4" w:rsidP="00A96859"/>
          <w:p w14:paraId="77E60ACE" w14:textId="47B9A1E1" w:rsidR="008423E4" w:rsidRPr="003624F2" w:rsidRDefault="00435847" w:rsidP="00A968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F3985FC" w14:textId="77777777" w:rsidR="008423E4" w:rsidRPr="00233FDB" w:rsidRDefault="008423E4" w:rsidP="00A96859">
            <w:pPr>
              <w:rPr>
                <w:b/>
              </w:rPr>
            </w:pPr>
          </w:p>
        </w:tc>
      </w:tr>
    </w:tbl>
    <w:p w14:paraId="6A4DA811" w14:textId="13AF94DB" w:rsidR="004108C3" w:rsidRPr="008423E4" w:rsidRDefault="004108C3" w:rsidP="00A9685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230" w14:textId="77777777" w:rsidR="00000000" w:rsidRDefault="00435847">
      <w:r>
        <w:separator/>
      </w:r>
    </w:p>
  </w:endnote>
  <w:endnote w:type="continuationSeparator" w:id="0">
    <w:p w14:paraId="721271B1" w14:textId="77777777" w:rsidR="00000000" w:rsidRDefault="004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43F1" w14:textId="77777777" w:rsidR="003520E0" w:rsidRDefault="0035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7EA2" w14:paraId="4A916E2D" w14:textId="77777777" w:rsidTr="009C1E9A">
      <w:trPr>
        <w:cantSplit/>
      </w:trPr>
      <w:tc>
        <w:tcPr>
          <w:tcW w:w="0" w:type="pct"/>
        </w:tcPr>
        <w:p w14:paraId="215C99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83034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21EB9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5926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2215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7EA2" w14:paraId="5FA6986B" w14:textId="77777777" w:rsidTr="009C1E9A">
      <w:trPr>
        <w:cantSplit/>
      </w:trPr>
      <w:tc>
        <w:tcPr>
          <w:tcW w:w="0" w:type="pct"/>
        </w:tcPr>
        <w:p w14:paraId="483C90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7AF55C" w14:textId="4FF700C3" w:rsidR="00EC379B" w:rsidRPr="009C1E9A" w:rsidRDefault="004358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19771</w:t>
          </w:r>
        </w:p>
      </w:tc>
      <w:tc>
        <w:tcPr>
          <w:tcW w:w="2453" w:type="pct"/>
        </w:tcPr>
        <w:p w14:paraId="46239F64" w14:textId="108ED25F" w:rsidR="00EC379B" w:rsidRDefault="004358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659E6">
            <w:t>21.102.1118</w:t>
          </w:r>
          <w:r>
            <w:fldChar w:fldCharType="end"/>
          </w:r>
        </w:p>
      </w:tc>
    </w:tr>
    <w:tr w:rsidR="00F77EA2" w14:paraId="754EB8D2" w14:textId="77777777" w:rsidTr="009C1E9A">
      <w:trPr>
        <w:cantSplit/>
      </w:trPr>
      <w:tc>
        <w:tcPr>
          <w:tcW w:w="0" w:type="pct"/>
        </w:tcPr>
        <w:p w14:paraId="1532199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E0C6BB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D8DAF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8F3E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7EA2" w14:paraId="2BABB6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154BC5" w14:textId="39918F2B" w:rsidR="00EC379B" w:rsidRDefault="004358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659E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408AB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8C814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9B0A" w14:textId="77777777" w:rsidR="003520E0" w:rsidRDefault="0035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DDEF" w14:textId="77777777" w:rsidR="00000000" w:rsidRDefault="00435847">
      <w:r>
        <w:separator/>
      </w:r>
    </w:p>
  </w:footnote>
  <w:footnote w:type="continuationSeparator" w:id="0">
    <w:p w14:paraId="2EB6C1B3" w14:textId="77777777" w:rsidR="00000000" w:rsidRDefault="0043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68A4" w14:textId="77777777" w:rsidR="003520E0" w:rsidRDefault="00352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C265" w14:textId="77777777" w:rsidR="003520E0" w:rsidRDefault="00352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232C" w14:textId="77777777" w:rsidR="003520E0" w:rsidRDefault="0035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0321"/>
    <w:multiLevelType w:val="hybridMultilevel"/>
    <w:tmpl w:val="570AB0AE"/>
    <w:lvl w:ilvl="0" w:tplc="3AE0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08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2A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EE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5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E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C7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4E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CC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41AA"/>
    <w:multiLevelType w:val="hybridMultilevel"/>
    <w:tmpl w:val="B0C06792"/>
    <w:lvl w:ilvl="0" w:tplc="2110D2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B6AA9C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C9AD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D184F4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AA084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63C6DF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35046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4C8B07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6ECADA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B"/>
    <w:rsid w:val="00000A70"/>
    <w:rsid w:val="00000B5C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38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641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34A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65C"/>
    <w:rsid w:val="001F3CB8"/>
    <w:rsid w:val="001F6B91"/>
    <w:rsid w:val="001F703C"/>
    <w:rsid w:val="00200B9E"/>
    <w:rsid w:val="00200BF5"/>
    <w:rsid w:val="002010D1"/>
    <w:rsid w:val="00201338"/>
    <w:rsid w:val="00203D72"/>
    <w:rsid w:val="0020775D"/>
    <w:rsid w:val="002116DD"/>
    <w:rsid w:val="0021383D"/>
    <w:rsid w:val="00216BBA"/>
    <w:rsid w:val="00216E12"/>
    <w:rsid w:val="00217466"/>
    <w:rsid w:val="0021751D"/>
    <w:rsid w:val="00217C49"/>
    <w:rsid w:val="00221140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8B4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0E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3E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ED3"/>
    <w:rsid w:val="004350F3"/>
    <w:rsid w:val="00435847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DB4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62D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8CC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783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67F"/>
    <w:rsid w:val="00650692"/>
    <w:rsid w:val="006508D3"/>
    <w:rsid w:val="00650AFA"/>
    <w:rsid w:val="0065387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65E"/>
    <w:rsid w:val="00695101"/>
    <w:rsid w:val="00695B9A"/>
    <w:rsid w:val="00696243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159"/>
    <w:rsid w:val="006E45B0"/>
    <w:rsid w:val="006E5692"/>
    <w:rsid w:val="006F365D"/>
    <w:rsid w:val="006F4BB0"/>
    <w:rsid w:val="0070004C"/>
    <w:rsid w:val="007031BD"/>
    <w:rsid w:val="00703E80"/>
    <w:rsid w:val="00705276"/>
    <w:rsid w:val="007066A0"/>
    <w:rsid w:val="007070FE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A7E"/>
    <w:rsid w:val="00764786"/>
    <w:rsid w:val="00766E12"/>
    <w:rsid w:val="0077098E"/>
    <w:rsid w:val="00771287"/>
    <w:rsid w:val="0077149E"/>
    <w:rsid w:val="0077267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9E8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76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820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411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768"/>
    <w:rsid w:val="00A659E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85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CA6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D6A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BC9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350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E12"/>
    <w:rsid w:val="00D35728"/>
    <w:rsid w:val="00D37BCF"/>
    <w:rsid w:val="00D40F93"/>
    <w:rsid w:val="00D42277"/>
    <w:rsid w:val="00D43C59"/>
    <w:rsid w:val="00D44ADE"/>
    <w:rsid w:val="00D4589C"/>
    <w:rsid w:val="00D50D65"/>
    <w:rsid w:val="00D512E0"/>
    <w:rsid w:val="00D519F3"/>
    <w:rsid w:val="00D51D2A"/>
    <w:rsid w:val="00D53B7C"/>
    <w:rsid w:val="00D55F52"/>
    <w:rsid w:val="00D56508"/>
    <w:rsid w:val="00D575F4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F4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9F9"/>
    <w:rsid w:val="00DD1B8F"/>
    <w:rsid w:val="00DD5BCC"/>
    <w:rsid w:val="00DD7509"/>
    <w:rsid w:val="00DD79C7"/>
    <w:rsid w:val="00DD7D6E"/>
    <w:rsid w:val="00DE34B2"/>
    <w:rsid w:val="00DE4214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6EA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246"/>
    <w:rsid w:val="00E149A9"/>
    <w:rsid w:val="00E15F90"/>
    <w:rsid w:val="00E16D3E"/>
    <w:rsid w:val="00E17167"/>
    <w:rsid w:val="00E20520"/>
    <w:rsid w:val="00E2169B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857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06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A8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C76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EA2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A5E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207766-EC93-4063-A06A-B0E92198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23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3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34A"/>
    <w:rPr>
      <w:b/>
      <w:bCs/>
    </w:rPr>
  </w:style>
  <w:style w:type="paragraph" w:styleId="Revision">
    <w:name w:val="Revision"/>
    <w:hidden/>
    <w:uiPriority w:val="99"/>
    <w:semiHidden/>
    <w:rsid w:val="00000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2849</Characters>
  <Application>Microsoft Office Word</Application>
  <DocSecurity>4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HB00323 (Committee Report (Unamended))</vt:lpstr>
    </vt:vector>
  </TitlesOfParts>
  <Company>State of Texas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19771</dc:subject>
  <dc:creator>State of Texas</dc:creator>
  <dc:description>HB 323 by King, Phil-(H)Homeland Security &amp; Public Safety</dc:description>
  <cp:lastModifiedBy>Damian Duarte</cp:lastModifiedBy>
  <cp:revision>2</cp:revision>
  <cp:lastPrinted>2003-11-26T17:21:00Z</cp:lastPrinted>
  <dcterms:created xsi:type="dcterms:W3CDTF">2021-04-12T23:43:00Z</dcterms:created>
  <dcterms:modified xsi:type="dcterms:W3CDTF">2021-04-12T23:43:00Z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21.102.1118</vt:lpwstr>
  </property>
</Properties>
</file>