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81CB7" w14:paraId="0986CF1B" w14:textId="77777777" w:rsidTr="00C8195E">
        <w:tc>
          <w:tcPr>
            <w:tcW w:w="9576" w:type="dxa"/>
            <w:noWrap/>
          </w:tcPr>
          <w:p w14:paraId="6C9ACBBC" w14:textId="77777777" w:rsidR="008423E4" w:rsidRPr="0022177D" w:rsidRDefault="008D4884" w:rsidP="0039156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3C3F030" w14:textId="77777777" w:rsidR="008423E4" w:rsidRPr="0022177D" w:rsidRDefault="008423E4" w:rsidP="0039156C">
      <w:pPr>
        <w:jc w:val="center"/>
      </w:pPr>
    </w:p>
    <w:p w14:paraId="5EE22FD0" w14:textId="77777777" w:rsidR="008423E4" w:rsidRPr="00B31F0E" w:rsidRDefault="008423E4" w:rsidP="0039156C"/>
    <w:p w14:paraId="26511841" w14:textId="77777777" w:rsidR="008423E4" w:rsidRPr="00742794" w:rsidRDefault="008423E4" w:rsidP="0039156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1CB7" w14:paraId="25D0ECF7" w14:textId="77777777" w:rsidTr="00C8195E">
        <w:tc>
          <w:tcPr>
            <w:tcW w:w="9576" w:type="dxa"/>
          </w:tcPr>
          <w:p w14:paraId="101C395A" w14:textId="7CA65EC3" w:rsidR="008423E4" w:rsidRPr="00861995" w:rsidRDefault="008D4884" w:rsidP="0039156C">
            <w:pPr>
              <w:jc w:val="right"/>
            </w:pPr>
            <w:r>
              <w:t>C.S.H.B. 365</w:t>
            </w:r>
          </w:p>
        </w:tc>
      </w:tr>
      <w:tr w:rsidR="00081CB7" w14:paraId="6478FD0C" w14:textId="77777777" w:rsidTr="00C8195E">
        <w:tc>
          <w:tcPr>
            <w:tcW w:w="9576" w:type="dxa"/>
          </w:tcPr>
          <w:p w14:paraId="5B1F8D34" w14:textId="70CEA464" w:rsidR="008423E4" w:rsidRPr="00861995" w:rsidRDefault="008D4884" w:rsidP="0039156C">
            <w:pPr>
              <w:jc w:val="right"/>
            </w:pPr>
            <w:r>
              <w:t xml:space="preserve">By: </w:t>
            </w:r>
            <w:r w:rsidR="0001337A">
              <w:t>Murr</w:t>
            </w:r>
          </w:p>
        </w:tc>
      </w:tr>
      <w:tr w:rsidR="00081CB7" w14:paraId="18EB99FF" w14:textId="77777777" w:rsidTr="00C8195E">
        <w:tc>
          <w:tcPr>
            <w:tcW w:w="9576" w:type="dxa"/>
          </w:tcPr>
          <w:p w14:paraId="1090AA8D" w14:textId="6FC19A6F" w:rsidR="008423E4" w:rsidRPr="00861995" w:rsidRDefault="008D4884" w:rsidP="0039156C">
            <w:pPr>
              <w:jc w:val="right"/>
            </w:pPr>
            <w:r>
              <w:t>Judiciary &amp; Civil Jurisprudence</w:t>
            </w:r>
          </w:p>
        </w:tc>
      </w:tr>
      <w:tr w:rsidR="00081CB7" w14:paraId="37B7399B" w14:textId="77777777" w:rsidTr="00C8195E">
        <w:tc>
          <w:tcPr>
            <w:tcW w:w="9576" w:type="dxa"/>
          </w:tcPr>
          <w:p w14:paraId="217F9D03" w14:textId="4C884ACB" w:rsidR="008423E4" w:rsidRDefault="008D4884" w:rsidP="0039156C">
            <w:pPr>
              <w:jc w:val="right"/>
            </w:pPr>
            <w:r>
              <w:t>Committee Report (Substituted)</w:t>
            </w:r>
          </w:p>
        </w:tc>
      </w:tr>
    </w:tbl>
    <w:p w14:paraId="0B29CE06" w14:textId="77777777" w:rsidR="008423E4" w:rsidRDefault="008423E4" w:rsidP="0039156C">
      <w:pPr>
        <w:tabs>
          <w:tab w:val="right" w:pos="9360"/>
        </w:tabs>
      </w:pPr>
    </w:p>
    <w:p w14:paraId="5DD16012" w14:textId="77777777" w:rsidR="008423E4" w:rsidRDefault="008423E4" w:rsidP="0039156C"/>
    <w:p w14:paraId="445F6C9A" w14:textId="77777777" w:rsidR="008423E4" w:rsidRDefault="008423E4" w:rsidP="0039156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81CB7" w14:paraId="616B4F86" w14:textId="77777777" w:rsidTr="00BC6E38">
        <w:tc>
          <w:tcPr>
            <w:tcW w:w="9360" w:type="dxa"/>
          </w:tcPr>
          <w:p w14:paraId="1BD63686" w14:textId="77777777" w:rsidR="008423E4" w:rsidRPr="00A8133F" w:rsidRDefault="008D4884" w:rsidP="003915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F67FB6" w14:textId="77777777" w:rsidR="008423E4" w:rsidRDefault="008423E4" w:rsidP="0039156C"/>
          <w:p w14:paraId="228E121B" w14:textId="5F981504" w:rsidR="008423E4" w:rsidRDefault="008D4884" w:rsidP="0039156C">
            <w:pPr>
              <w:pStyle w:val="Header"/>
              <w:jc w:val="both"/>
            </w:pPr>
            <w:r w:rsidRPr="00123CB3">
              <w:t>In 1995, the Texas Legislature passed the Texas Equine Activity Limitation of Liability Act, which provided a limitation</w:t>
            </w:r>
            <w:r w:rsidRPr="00123CB3">
              <w:t xml:space="preserve"> of liability to equine facility operators due to the inherent risks of being involved with horses. In 2011, th</w:t>
            </w:r>
            <w:r w:rsidR="00C8195E">
              <w:t>at a</w:t>
            </w:r>
            <w:r w:rsidRPr="00123CB3">
              <w:t xml:space="preserve">ct was amended to become the </w:t>
            </w:r>
            <w:r w:rsidR="001227D3">
              <w:t xml:space="preserve">Texas </w:t>
            </w:r>
            <w:r w:rsidRPr="00123CB3">
              <w:t>Farm Animal Liability Act (FALA)</w:t>
            </w:r>
            <w:r w:rsidR="00C8195E">
              <w:t>, which</w:t>
            </w:r>
            <w:r w:rsidRPr="00123CB3">
              <w:t xml:space="preserve"> expanded coverage from equine</w:t>
            </w:r>
            <w:r w:rsidR="00D116AA">
              <w:t>s</w:t>
            </w:r>
            <w:r w:rsidRPr="00123CB3">
              <w:t xml:space="preserve"> to </w:t>
            </w:r>
            <w:r w:rsidR="00C8195E">
              <w:t>farm animals for purposes of</w:t>
            </w:r>
            <w:r w:rsidRPr="00123CB3">
              <w:t xml:space="preserve"> pro</w:t>
            </w:r>
            <w:r w:rsidRPr="00123CB3">
              <w:t>tect</w:t>
            </w:r>
            <w:r w:rsidR="00C8195E">
              <w:t>ing</w:t>
            </w:r>
            <w:r w:rsidRPr="00123CB3">
              <w:t xml:space="preserve"> </w:t>
            </w:r>
            <w:r w:rsidR="00C8195E">
              <w:t>individuals involved in farm animal activit</w:t>
            </w:r>
            <w:r w:rsidR="001C10ED">
              <w:t xml:space="preserve">ies or livestock shows from </w:t>
            </w:r>
            <w:r w:rsidR="001C10ED" w:rsidRPr="00026BD3">
              <w:t>exposure t</w:t>
            </w:r>
            <w:r w:rsidR="001C10ED">
              <w:t>o liability</w:t>
            </w:r>
            <w:r w:rsidR="00C8195E">
              <w:t>. However, t</w:t>
            </w:r>
            <w:r w:rsidRPr="00123CB3">
              <w:t xml:space="preserve">he Texas Supreme Court recently ruled that </w:t>
            </w:r>
            <w:r w:rsidR="005807AF">
              <w:t xml:space="preserve">the </w:t>
            </w:r>
            <w:r w:rsidR="00C8195E">
              <w:t xml:space="preserve">FALA </w:t>
            </w:r>
            <w:r w:rsidRPr="00123CB3">
              <w:t xml:space="preserve">does not specifically apply to ranchers and ranch hands. </w:t>
            </w:r>
            <w:r w:rsidR="00C8195E">
              <w:t>C.S.</w:t>
            </w:r>
            <w:r w:rsidRPr="00123CB3">
              <w:t>H</w:t>
            </w:r>
            <w:r w:rsidR="00C8195E">
              <w:t>.</w:t>
            </w:r>
            <w:r w:rsidRPr="00123CB3">
              <w:t>B</w:t>
            </w:r>
            <w:r w:rsidR="00C8195E">
              <w:t>.</w:t>
            </w:r>
            <w:r w:rsidRPr="00123CB3">
              <w:t xml:space="preserve"> 365 would expand the scope</w:t>
            </w:r>
            <w:r w:rsidRPr="00123CB3">
              <w:t xml:space="preserve"> of </w:t>
            </w:r>
            <w:r w:rsidR="00761D64">
              <w:t xml:space="preserve">the </w:t>
            </w:r>
            <w:r w:rsidRPr="00123CB3">
              <w:t xml:space="preserve">liability limitation </w:t>
            </w:r>
            <w:r w:rsidR="00C8195E">
              <w:t>under</w:t>
            </w:r>
            <w:r w:rsidR="00DC704B">
              <w:t xml:space="preserve"> the</w:t>
            </w:r>
            <w:r w:rsidR="00C8195E" w:rsidRPr="00123CB3">
              <w:t xml:space="preserve"> </w:t>
            </w:r>
            <w:r w:rsidRPr="00761D64">
              <w:t xml:space="preserve">FALA to </w:t>
            </w:r>
            <w:r w:rsidR="00C8195E" w:rsidRPr="00761D64">
              <w:t xml:space="preserve">cover </w:t>
            </w:r>
            <w:r w:rsidRPr="00761D64">
              <w:t>routine</w:t>
            </w:r>
            <w:r w:rsidR="00C8195E" w:rsidRPr="00761D64">
              <w:t xml:space="preserve"> and </w:t>
            </w:r>
            <w:r w:rsidRPr="00761D64">
              <w:t>customary activities on a farm, the handling and managing of farm animals, and ranching activities.</w:t>
            </w:r>
            <w:r w:rsidRPr="00123CB3">
              <w:t xml:space="preserve"> </w:t>
            </w:r>
          </w:p>
          <w:p w14:paraId="3F5956FF" w14:textId="77777777" w:rsidR="008423E4" w:rsidRPr="00E26B13" w:rsidRDefault="008423E4" w:rsidP="0039156C">
            <w:pPr>
              <w:rPr>
                <w:b/>
              </w:rPr>
            </w:pPr>
          </w:p>
        </w:tc>
      </w:tr>
      <w:tr w:rsidR="00081CB7" w14:paraId="101F5D89" w14:textId="77777777" w:rsidTr="00BC6E38">
        <w:tc>
          <w:tcPr>
            <w:tcW w:w="9360" w:type="dxa"/>
          </w:tcPr>
          <w:p w14:paraId="6CD6AE2E" w14:textId="77777777" w:rsidR="0017725B" w:rsidRDefault="008D4884" w:rsidP="003915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2E50723" w14:textId="77777777" w:rsidR="0017725B" w:rsidRDefault="0017725B" w:rsidP="0039156C">
            <w:pPr>
              <w:rPr>
                <w:b/>
                <w:u w:val="single"/>
              </w:rPr>
            </w:pPr>
          </w:p>
          <w:p w14:paraId="3A3F59EE" w14:textId="1E155BE9" w:rsidR="00F949DA" w:rsidRPr="00F949DA" w:rsidRDefault="008D4884" w:rsidP="0039156C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14:paraId="2E911D57" w14:textId="77777777" w:rsidR="0017725B" w:rsidRPr="0017725B" w:rsidRDefault="0017725B" w:rsidP="0039156C">
            <w:pPr>
              <w:rPr>
                <w:b/>
                <w:u w:val="single"/>
              </w:rPr>
            </w:pPr>
          </w:p>
        </w:tc>
      </w:tr>
      <w:tr w:rsidR="00081CB7" w14:paraId="3E15102A" w14:textId="77777777" w:rsidTr="00BC6E38">
        <w:tc>
          <w:tcPr>
            <w:tcW w:w="9360" w:type="dxa"/>
          </w:tcPr>
          <w:p w14:paraId="1E541CD3" w14:textId="77777777" w:rsidR="008423E4" w:rsidRPr="00A8133F" w:rsidRDefault="008D4884" w:rsidP="003915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E28C24" w14:textId="77777777" w:rsidR="008423E4" w:rsidRDefault="008423E4" w:rsidP="0039156C"/>
          <w:p w14:paraId="33246F40" w14:textId="450F9A0B" w:rsidR="00F949DA" w:rsidRDefault="008D4884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14:paraId="3ED64B57" w14:textId="77777777" w:rsidR="008423E4" w:rsidRPr="00E21FDC" w:rsidRDefault="008423E4" w:rsidP="0039156C">
            <w:pPr>
              <w:rPr>
                <w:b/>
              </w:rPr>
            </w:pPr>
          </w:p>
        </w:tc>
      </w:tr>
      <w:tr w:rsidR="00081CB7" w14:paraId="7CC019CD" w14:textId="77777777" w:rsidTr="00901685">
        <w:tc>
          <w:tcPr>
            <w:tcW w:w="9576" w:type="dxa"/>
          </w:tcPr>
          <w:p w14:paraId="00CBD510" w14:textId="465C49C9" w:rsidR="008423E4" w:rsidRDefault="008D4884" w:rsidP="003915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D877145" w14:textId="77777777" w:rsidR="0039156C" w:rsidRPr="00B0509E" w:rsidRDefault="0039156C" w:rsidP="0039156C">
            <w:pPr>
              <w:rPr>
                <w:b/>
              </w:rPr>
            </w:pPr>
          </w:p>
          <w:p w14:paraId="26B9865B" w14:textId="26E8238E" w:rsidR="00027A7B" w:rsidRDefault="008D4884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21B5B">
              <w:t>C.S.H.B. 365</w:t>
            </w:r>
            <w:r>
              <w:t xml:space="preserve"> amends the </w:t>
            </w:r>
            <w:r w:rsidR="00121810">
              <w:t>Civil Practice and R</w:t>
            </w:r>
            <w:r>
              <w:t xml:space="preserve">emedies Code to </w:t>
            </w:r>
            <w:r w:rsidR="00FA1623">
              <w:t>expand the scope of statutory provisions</w:t>
            </w:r>
            <w:r w:rsidR="00C41C3C">
              <w:t xml:space="preserve"> commonly referred to as the Texas Farm Animal Liability Act (FALA) that exempt a person from</w:t>
            </w:r>
            <w:r w:rsidR="00FA1623">
              <w:t xml:space="preserve"> liability </w:t>
            </w:r>
            <w:r w:rsidR="00147D01" w:rsidRPr="00587E90">
              <w:t>for property damage or damages arising from personal injury or death</w:t>
            </w:r>
            <w:r w:rsidR="00147D01">
              <w:t xml:space="preserve"> </w:t>
            </w:r>
            <w:r w:rsidR="0019786A">
              <w:t>in connection with</w:t>
            </w:r>
            <w:r w:rsidR="00147D01" w:rsidRPr="001C10ED">
              <w:t xml:space="preserve"> </w:t>
            </w:r>
            <w:r w:rsidR="00FA1623" w:rsidRPr="001C10ED">
              <w:t>farm animal activities</w:t>
            </w:r>
            <w:r w:rsidR="00FA1623">
              <w:t xml:space="preserve"> </w:t>
            </w:r>
            <w:r w:rsidR="00604232">
              <w:t>or</w:t>
            </w:r>
            <w:r w:rsidR="00FA1623">
              <w:t xml:space="preserve"> livestock shows</w:t>
            </w:r>
            <w:r w:rsidR="00B61F01">
              <w:t xml:space="preserve"> under certain circumstances</w:t>
            </w:r>
            <w:r w:rsidR="007B3542">
              <w:t xml:space="preserve">. </w:t>
            </w:r>
          </w:p>
          <w:p w14:paraId="6AB5DA60" w14:textId="460BD2F4" w:rsidR="00E70770" w:rsidRDefault="00E70770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E2C220E" w14:textId="2BC57A5D" w:rsidR="00A960F8" w:rsidRDefault="008D4884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856E2">
              <w:t xml:space="preserve">C.S.H.B. 365 </w:t>
            </w:r>
            <w:r w:rsidR="00670332" w:rsidRPr="008856E2">
              <w:t>specifically includes</w:t>
            </w:r>
            <w:r w:rsidRPr="008856E2">
              <w:t xml:space="preserve"> a farm owner or lessee </w:t>
            </w:r>
            <w:r w:rsidR="003A5C48">
              <w:t>as a person to whom</w:t>
            </w:r>
            <w:r w:rsidR="00670332" w:rsidRPr="008856E2">
              <w:t xml:space="preserve"> that </w:t>
            </w:r>
            <w:r w:rsidR="008856E2" w:rsidRPr="008856E2">
              <w:t xml:space="preserve">limitation </w:t>
            </w:r>
            <w:r w:rsidR="008856E2" w:rsidRPr="007E679B">
              <w:t>on liability and</w:t>
            </w:r>
            <w:r w:rsidR="00670332" w:rsidRPr="007E679B">
              <w:t xml:space="preserve"> related exceptions and wa</w:t>
            </w:r>
            <w:r w:rsidR="008856E2" w:rsidRPr="007E679B">
              <w:t>rning notice requirements apply</w:t>
            </w:r>
            <w:r w:rsidR="00670332" w:rsidRPr="007E679B">
              <w:t>.</w:t>
            </w:r>
            <w:r w:rsidR="00670332">
              <w:t xml:space="preserve"> </w:t>
            </w:r>
            <w:r w:rsidR="008E29F0">
              <w:t xml:space="preserve">The bill expands the </w:t>
            </w:r>
            <w:r w:rsidR="00670332">
              <w:t xml:space="preserve">circumstances </w:t>
            </w:r>
            <w:r w:rsidR="008E29F0">
              <w:t>under which a person is exempt from liability to</w:t>
            </w:r>
            <w:r w:rsidR="006F390D" w:rsidRPr="00D253D6">
              <w:t xml:space="preserve"> include</w:t>
            </w:r>
            <w:r w:rsidR="00983F37" w:rsidRPr="00D253D6">
              <w:t xml:space="preserve"> </w:t>
            </w:r>
            <w:r w:rsidR="00670332">
              <w:t>those in which</w:t>
            </w:r>
            <w:r w:rsidR="006B2831" w:rsidRPr="00D253D6">
              <w:t xml:space="preserve"> the property damage</w:t>
            </w:r>
            <w:r w:rsidR="00774F2F">
              <w:t>, injury, or death</w:t>
            </w:r>
            <w:r w:rsidR="00983F37" w:rsidRPr="00D253D6">
              <w:t xml:space="preserve"> </w:t>
            </w:r>
            <w:r w:rsidR="006B2831" w:rsidRPr="00D253D6">
              <w:t>result</w:t>
            </w:r>
            <w:r w:rsidR="00983F37" w:rsidRPr="00D253D6">
              <w:t>s</w:t>
            </w:r>
            <w:r w:rsidR="006B2831" w:rsidRPr="00D253D6">
              <w:t xml:space="preserve"> from dangers or conditions that are an inherent risk of a farm animal or the raising or handling of livestock on a farm</w:t>
            </w:r>
            <w:r w:rsidR="00E44A87" w:rsidRPr="00D253D6">
              <w:t>.</w:t>
            </w:r>
            <w:r w:rsidR="006F390D">
              <w:t xml:space="preserve"> </w:t>
            </w:r>
          </w:p>
          <w:p w14:paraId="046E2F42" w14:textId="77777777" w:rsidR="00A960F8" w:rsidRDefault="00A960F8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2160213" w14:textId="3F845507" w:rsidR="00C4475E" w:rsidRDefault="008D4884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365 revises the exceptions</w:t>
            </w:r>
            <w:r>
              <w:t xml:space="preserve"> to the limitation </w:t>
            </w:r>
            <w:r w:rsidR="003A5C48">
              <w:t xml:space="preserve">on liability </w:t>
            </w:r>
            <w:r>
              <w:t>as follows:</w:t>
            </w:r>
          </w:p>
          <w:p w14:paraId="42812D8C" w14:textId="2CD760DB" w:rsidR="00603B6D" w:rsidRDefault="008D4884" w:rsidP="0039156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replaces the specification that</w:t>
            </w:r>
            <w:r w:rsidR="003A4B70">
              <w:t xml:space="preserve"> </w:t>
            </w:r>
            <w:r w:rsidR="003739FB">
              <w:t xml:space="preserve">a person is </w:t>
            </w:r>
            <w:r w:rsidR="00491F05">
              <w:t xml:space="preserve">liable </w:t>
            </w:r>
            <w:r w:rsidR="003739FB" w:rsidRPr="007E679B">
              <w:t xml:space="preserve">under </w:t>
            </w:r>
            <w:r w:rsidR="008856E2" w:rsidRPr="007E679B">
              <w:t xml:space="preserve">the </w:t>
            </w:r>
            <w:r w:rsidR="007E679B">
              <w:t>excepted circumstances</w:t>
            </w:r>
            <w:r w:rsidR="003739FB">
              <w:t xml:space="preserve"> </w:t>
            </w:r>
            <w:r>
              <w:t>with a specification that a</w:t>
            </w:r>
            <w:r w:rsidR="003739FB">
              <w:t xml:space="preserve"> person may be liable under </w:t>
            </w:r>
            <w:r w:rsidR="00A27977">
              <w:t xml:space="preserve">those </w:t>
            </w:r>
            <w:r w:rsidR="007E679B">
              <w:t>circumstances</w:t>
            </w:r>
            <w:r>
              <w:t>;</w:t>
            </w:r>
            <w:r w:rsidR="006F390D">
              <w:t xml:space="preserve"> and</w:t>
            </w:r>
          </w:p>
          <w:p w14:paraId="26D05E3A" w14:textId="04E91202" w:rsidR="00603B6D" w:rsidRDefault="008D4884" w:rsidP="0039156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specifies that work activities are covered by the exception </w:t>
            </w:r>
            <w:r w:rsidR="009232F7" w:rsidRPr="00774F2F">
              <w:t>for circumstances in which</w:t>
            </w:r>
            <w:r w:rsidR="00C4475E" w:rsidRPr="00774F2F">
              <w:t xml:space="preserve"> </w:t>
            </w:r>
            <w:r w:rsidR="00C4475E" w:rsidRPr="003D2FE0">
              <w:t xml:space="preserve">the </w:t>
            </w:r>
            <w:r w:rsidRPr="003D2FE0">
              <w:t>person</w:t>
            </w:r>
            <w:r>
              <w:t xml:space="preserve"> subject to liability </w:t>
            </w:r>
            <w:r w:rsidR="00C4475E" w:rsidRPr="004619BF">
              <w:t xml:space="preserve">did not make a reasonable and prudent effort to determine the ability of </w:t>
            </w:r>
            <w:r w:rsidR="005819AF">
              <w:t>a</w:t>
            </w:r>
            <w:r w:rsidR="00C4475E" w:rsidRPr="004619BF">
              <w:t xml:space="preserve"> participant to engage safely in </w:t>
            </w:r>
            <w:r>
              <w:t>a farm animal activity</w:t>
            </w:r>
            <w:r w:rsidR="00C4475E" w:rsidRPr="00774F2F">
              <w:t xml:space="preserve"> and determine the ability of the participant to safely man</w:t>
            </w:r>
            <w:r w:rsidR="00C4475E" w:rsidRPr="00670332">
              <w:t>age the farm animal</w:t>
            </w:r>
            <w:r w:rsidR="00340B8E" w:rsidRPr="008856E2">
              <w:t>.</w:t>
            </w:r>
          </w:p>
          <w:p w14:paraId="2D4A7043" w14:textId="77777777" w:rsidR="00340B8E" w:rsidRDefault="00340B8E" w:rsidP="0039156C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</w:pPr>
          </w:p>
          <w:p w14:paraId="14FC1594" w14:textId="494CB9F6" w:rsidR="00534BA5" w:rsidRDefault="008D4884" w:rsidP="0039156C">
            <w:r>
              <w:t>C.S.H.B. 365 does the following w</w:t>
            </w:r>
            <w:r w:rsidR="00314F24">
              <w:t xml:space="preserve">ith respect to </w:t>
            </w:r>
            <w:r>
              <w:t xml:space="preserve">the warning </w:t>
            </w:r>
            <w:r w:rsidR="00314F24">
              <w:t xml:space="preserve">notice </w:t>
            </w:r>
            <w:r w:rsidR="0019786A" w:rsidRPr="00761D64">
              <w:t>regarding limited liability</w:t>
            </w:r>
            <w:r w:rsidR="0019786A">
              <w:t xml:space="preserve"> </w:t>
            </w:r>
            <w:r w:rsidR="003A5C48">
              <w:t xml:space="preserve">that must be posted where a farm animal </w:t>
            </w:r>
            <w:r w:rsidR="00095852">
              <w:t>activity is conducted and included in certain related contracts</w:t>
            </w:r>
            <w:r>
              <w:t>:</w:t>
            </w:r>
          </w:p>
          <w:p w14:paraId="7358452D" w14:textId="77F9D6EB" w:rsidR="004E0616" w:rsidRDefault="008D4884" w:rsidP="0039156C">
            <w:pPr>
              <w:pStyle w:val="ListParagraph"/>
              <w:numPr>
                <w:ilvl w:val="0"/>
                <w:numId w:val="6"/>
              </w:numPr>
            </w:pPr>
            <w:r>
              <w:t>includes an employee and independent contractor among those persons considered participants</w:t>
            </w:r>
            <w:r w:rsidR="00314F24">
              <w:t xml:space="preserve"> for purposes of contracts that require the notice</w:t>
            </w:r>
            <w:r>
              <w:t>;</w:t>
            </w:r>
            <w:r w:rsidR="00E47EC9">
              <w:t xml:space="preserve"> and</w:t>
            </w:r>
          </w:p>
          <w:p w14:paraId="366405BC" w14:textId="02FAF294" w:rsidR="00027A7B" w:rsidRDefault="008D4884" w:rsidP="0039156C">
            <w:pPr>
              <w:pStyle w:val="ListParagraph"/>
              <w:numPr>
                <w:ilvl w:val="0"/>
                <w:numId w:val="6"/>
              </w:numPr>
            </w:pPr>
            <w:r>
              <w:t xml:space="preserve">revises </w:t>
            </w:r>
            <w:r w:rsidR="004E0616">
              <w:t xml:space="preserve">the language of the warning </w:t>
            </w:r>
            <w:r>
              <w:t>notice</w:t>
            </w:r>
            <w:r w:rsidR="00E71063">
              <w:t xml:space="preserve">. </w:t>
            </w:r>
          </w:p>
          <w:p w14:paraId="15A10B32" w14:textId="5FB7E9DC" w:rsidR="00340B8E" w:rsidRDefault="00340B8E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D93756A" w14:textId="508CAEB7" w:rsidR="00A960F8" w:rsidRDefault="008D4884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365 establishes </w:t>
            </w:r>
            <w:r w:rsidRPr="000A4E04">
              <w:t xml:space="preserve">that </w:t>
            </w:r>
            <w:r w:rsidR="00D253D6">
              <w:t>the FALA does</w:t>
            </w:r>
            <w:r>
              <w:t xml:space="preserve"> not affect the applicability of </w:t>
            </w:r>
            <w:r w:rsidR="00587E90" w:rsidRPr="00FF553B">
              <w:t>statutory</w:t>
            </w:r>
            <w:r w:rsidRPr="00FF553B">
              <w:t xml:space="preserve"> provisions relating to workers' compensation insurance coverage</w:t>
            </w:r>
            <w:r>
              <w:t xml:space="preserve"> or an employer's ability to </w:t>
            </w:r>
            <w:r w:rsidRPr="00027A7B">
              <w:t>refuse to subscribe to the workers' compensation system.</w:t>
            </w:r>
          </w:p>
          <w:p w14:paraId="7F7162C2" w14:textId="77777777" w:rsidR="00A960F8" w:rsidRDefault="00A960F8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41552EE" w14:textId="2EE8AB57" w:rsidR="00A960F8" w:rsidRDefault="008D4884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4F7C7B">
              <w:t>365</w:t>
            </w:r>
            <w:r w:rsidRPr="00612BB8">
              <w:t xml:space="preserve"> makes the following changes</w:t>
            </w:r>
            <w:r>
              <w:t xml:space="preserve"> to the FALA definitions</w:t>
            </w:r>
            <w:r w:rsidR="00200474" w:rsidRPr="00612BB8">
              <w:t>:</w:t>
            </w:r>
          </w:p>
          <w:p w14:paraId="74694ED8" w14:textId="6798823B" w:rsidR="00C70593" w:rsidRDefault="008D4884" w:rsidP="0039156C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 w:rsidRPr="00387EB5">
              <w:t>defines "farm" as any real estate, land area, facility, or ranch used wholly or partly for raising, cultivating, propagating, fattening, grazing, or any other farming, livestock, agricultural, or aquacultural operation</w:t>
            </w:r>
            <w:r>
              <w:t>;</w:t>
            </w:r>
          </w:p>
          <w:p w14:paraId="6AD08942" w14:textId="057F638B" w:rsidR="00C70593" w:rsidRDefault="008D4884" w:rsidP="0039156C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expands </w:t>
            </w:r>
            <w:r w:rsidR="00200474">
              <w:t>the definition</w:t>
            </w:r>
            <w:r>
              <w:t>s</w:t>
            </w:r>
            <w:r w:rsidR="00200474">
              <w:t xml:space="preserve"> of</w:t>
            </w:r>
            <w:r w:rsidR="00AF68F9">
              <w:t xml:space="preserve"> </w:t>
            </w:r>
            <w:r w:rsidR="00200474">
              <w:t>"</w:t>
            </w:r>
            <w:r>
              <w:t>engag</w:t>
            </w:r>
            <w:r w:rsidR="00E906A4">
              <w:t>es</w:t>
            </w:r>
            <w:r>
              <w:t xml:space="preserve"> in </w:t>
            </w:r>
            <w:r w:rsidR="00E906A4">
              <w:t xml:space="preserve">a </w:t>
            </w:r>
            <w:r w:rsidR="00AF68F9">
              <w:t>farm animal activity</w:t>
            </w:r>
            <w:r>
              <w:t>,</w:t>
            </w:r>
            <w:r w:rsidR="00200474">
              <w:t>"</w:t>
            </w:r>
            <w:r w:rsidR="00AF68F9">
              <w:t xml:space="preserve"> </w:t>
            </w:r>
            <w:r>
              <w:t>"farm animal activity," and "farm animal professional" to include</w:t>
            </w:r>
            <w:r w:rsidR="0019786A">
              <w:t xml:space="preserve"> </w:t>
            </w:r>
            <w:r>
              <w:t>certain additional activities relating to the care,</w:t>
            </w:r>
            <w:r w:rsidR="00D019E7">
              <w:t xml:space="preserve"> transportation,</w:t>
            </w:r>
            <w:r>
              <w:t xml:space="preserve"> handling, </w:t>
            </w:r>
            <w:r w:rsidR="00F40896">
              <w:t>or</w:t>
            </w:r>
            <w:r>
              <w:t xml:space="preserve"> management of farm animals;</w:t>
            </w:r>
          </w:p>
          <w:p w14:paraId="2FC97C38" w14:textId="3A4D5DEB" w:rsidR="00C70593" w:rsidRDefault="008D4884" w:rsidP="0039156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includes in the definition </w:t>
            </w:r>
            <w:r>
              <w:t xml:space="preserve">of </w:t>
            </w:r>
            <w:r w:rsidR="00046DB6">
              <w:t>"</w:t>
            </w:r>
            <w:r>
              <w:t>farm animal activity sponsor</w:t>
            </w:r>
            <w:r w:rsidR="00046DB6">
              <w:t>"</w:t>
            </w:r>
            <w:r>
              <w:t xml:space="preserve"> </w:t>
            </w:r>
            <w:r w:rsidRPr="00D67579">
              <w:t xml:space="preserve">a person or group who </w:t>
            </w:r>
            <w:r>
              <w:t xml:space="preserve">owns the </w:t>
            </w:r>
            <w:r w:rsidRPr="00F40896">
              <w:t>facilities for a farm animal activity</w:t>
            </w:r>
            <w:r w:rsidR="00046DB6" w:rsidRPr="00F40896">
              <w:t>;</w:t>
            </w:r>
            <w:r>
              <w:t xml:space="preserve"> </w:t>
            </w:r>
          </w:p>
          <w:p w14:paraId="54408BF2" w14:textId="7960E3D2" w:rsidR="00046DB6" w:rsidRDefault="008D4884" w:rsidP="0039156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includes in the definition of</w:t>
            </w:r>
            <w:r w:rsidR="00C70593">
              <w:t xml:space="preserve"> </w:t>
            </w:r>
            <w:r>
              <w:t>"</w:t>
            </w:r>
            <w:r w:rsidR="00C70593">
              <w:t>livestock producer</w:t>
            </w:r>
            <w:r>
              <w:t>"</w:t>
            </w:r>
            <w:r w:rsidR="00C70593">
              <w:t xml:space="preserve"> a person who </w:t>
            </w:r>
            <w:r w:rsidR="00C70593" w:rsidRPr="000D19A3">
              <w:t xml:space="preserve">handles, buys, </w:t>
            </w:r>
            <w:r w:rsidR="00C70593">
              <w:t xml:space="preserve">or sells </w:t>
            </w:r>
            <w:r w:rsidR="00C70593" w:rsidRPr="000D19A3">
              <w:t>livestock animals</w:t>
            </w:r>
            <w:r>
              <w:t>;</w:t>
            </w:r>
            <w:r w:rsidR="00E906A4">
              <w:t xml:space="preserve"> and</w:t>
            </w:r>
          </w:p>
          <w:p w14:paraId="4308C51A" w14:textId="0952CB95" w:rsidR="00046DB6" w:rsidRDefault="008D4884" w:rsidP="0039156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clarifies</w:t>
            </w:r>
            <w:r w:rsidR="004F2024">
              <w:t xml:space="preserve"> that</w:t>
            </w:r>
            <w:r w:rsidR="00C70593">
              <w:t xml:space="preserve"> a person who engages in </w:t>
            </w:r>
            <w:r w:rsidR="00DF7138">
              <w:t xml:space="preserve">a </w:t>
            </w:r>
            <w:r w:rsidR="00C70593">
              <w:t>farm animal activity</w:t>
            </w:r>
            <w:r w:rsidR="00DF7138">
              <w:t xml:space="preserve"> is considered a "participant" in that activity</w:t>
            </w:r>
            <w:r w:rsidR="00C70593">
              <w:t xml:space="preserve"> </w:t>
            </w:r>
            <w:r w:rsidR="00C70593" w:rsidRPr="00072981">
              <w:t>witho</w:t>
            </w:r>
            <w:r w:rsidR="00C70593">
              <w:t xml:space="preserve">ut regard to whether the person is </w:t>
            </w:r>
            <w:r w:rsidR="00C70593" w:rsidRPr="00072981">
              <w:t>an ind</w:t>
            </w:r>
            <w:r w:rsidR="00C70593">
              <w:t>ependent contractor or employee</w:t>
            </w:r>
            <w:r>
              <w:t>.</w:t>
            </w:r>
          </w:p>
          <w:p w14:paraId="2EBF522B" w14:textId="359814FF" w:rsidR="00FF691A" w:rsidRPr="00AF68F9" w:rsidRDefault="00FF691A" w:rsidP="0039156C">
            <w:pPr>
              <w:pStyle w:val="Header"/>
              <w:jc w:val="both"/>
            </w:pPr>
          </w:p>
        </w:tc>
      </w:tr>
      <w:tr w:rsidR="00081CB7" w14:paraId="4C980DB6" w14:textId="77777777" w:rsidTr="00BC6E38">
        <w:tc>
          <w:tcPr>
            <w:tcW w:w="9360" w:type="dxa"/>
          </w:tcPr>
          <w:p w14:paraId="70AADA09" w14:textId="77777777" w:rsidR="008423E4" w:rsidRPr="00A8133F" w:rsidRDefault="008D4884" w:rsidP="003915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57B822E" w14:textId="77777777" w:rsidR="008423E4" w:rsidRDefault="008423E4" w:rsidP="0039156C"/>
          <w:p w14:paraId="1723B269" w14:textId="77777777" w:rsidR="00B0509E" w:rsidRDefault="008D4884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BFBF94F" w14:textId="0670240D" w:rsidR="00244B2C" w:rsidRPr="00EF2524" w:rsidRDefault="00244B2C" w:rsidP="00391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81CB7" w14:paraId="026C26D2" w14:textId="77777777" w:rsidTr="00BC6E38">
        <w:tc>
          <w:tcPr>
            <w:tcW w:w="9360" w:type="dxa"/>
          </w:tcPr>
          <w:p w14:paraId="023FF90E" w14:textId="4CEC8860" w:rsidR="0001337A" w:rsidRDefault="008D4884" w:rsidP="0039156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9389B33" w14:textId="77777777" w:rsidR="0039156C" w:rsidRDefault="0039156C" w:rsidP="0039156C">
            <w:pPr>
              <w:jc w:val="both"/>
              <w:rPr>
                <w:b/>
                <w:u w:val="single"/>
              </w:rPr>
            </w:pPr>
          </w:p>
          <w:p w14:paraId="097D32DC" w14:textId="63E06955" w:rsidR="0049458F" w:rsidRDefault="008D4884" w:rsidP="0039156C">
            <w:pPr>
              <w:jc w:val="both"/>
            </w:pPr>
            <w:r>
              <w:t>While C.S.H.B. 365 may differ</w:t>
            </w:r>
            <w:r>
              <w:t xml:space="preserve"> from the original in minor or nonsubstantive ways, the following summarizes the substantial differences between the introduced and committee substitute versions of the bill.</w:t>
            </w:r>
          </w:p>
          <w:p w14:paraId="3335D126" w14:textId="77777777" w:rsidR="005F2037" w:rsidRDefault="005F2037" w:rsidP="0039156C">
            <w:pPr>
              <w:jc w:val="both"/>
            </w:pPr>
          </w:p>
          <w:p w14:paraId="46DF0AB3" w14:textId="0A243605" w:rsidR="00AD7114" w:rsidRDefault="008D4884" w:rsidP="0039156C">
            <w:pPr>
              <w:jc w:val="both"/>
            </w:pPr>
            <w:r>
              <w:t xml:space="preserve">The substitute </w:t>
            </w:r>
            <w:r w:rsidR="00224E1E">
              <w:t>contains language subjecting</w:t>
            </w:r>
            <w:r>
              <w:t xml:space="preserve"> a farm owner or lessee </w:t>
            </w:r>
            <w:r w:rsidR="009F10AF">
              <w:t>to t</w:t>
            </w:r>
            <w:r>
              <w:t xml:space="preserve">he </w:t>
            </w:r>
            <w:r w:rsidR="009F10AF">
              <w:t xml:space="preserve">requirement to include the </w:t>
            </w:r>
            <w:r w:rsidRPr="0096652A">
              <w:t xml:space="preserve">warning </w:t>
            </w:r>
            <w:r>
              <w:t xml:space="preserve">notice regarding </w:t>
            </w:r>
            <w:r w:rsidRPr="0096652A">
              <w:t xml:space="preserve">limited liability </w:t>
            </w:r>
            <w:r>
              <w:t>in a written contract with an applicable participant</w:t>
            </w:r>
            <w:r w:rsidR="009F10AF">
              <w:t>.</w:t>
            </w:r>
          </w:p>
          <w:p w14:paraId="057F5F00" w14:textId="49395D99" w:rsidR="0023604E" w:rsidRPr="0001337A" w:rsidRDefault="008D4884" w:rsidP="0039156C">
            <w:pPr>
              <w:jc w:val="both"/>
              <w:rPr>
                <w:b/>
                <w:u w:val="single"/>
              </w:rPr>
            </w:pPr>
            <w:r>
              <w:t xml:space="preserve"> </w:t>
            </w:r>
          </w:p>
        </w:tc>
      </w:tr>
    </w:tbl>
    <w:p w14:paraId="17EA98F8" w14:textId="77777777" w:rsidR="008423E4" w:rsidRPr="00BE0E75" w:rsidRDefault="008423E4" w:rsidP="0039156C">
      <w:pPr>
        <w:jc w:val="both"/>
        <w:rPr>
          <w:rFonts w:ascii="Arial" w:hAnsi="Arial"/>
          <w:sz w:val="16"/>
          <w:szCs w:val="16"/>
        </w:rPr>
      </w:pPr>
    </w:p>
    <w:p w14:paraId="1DFB29F4" w14:textId="77777777" w:rsidR="004108C3" w:rsidRPr="008423E4" w:rsidRDefault="004108C3" w:rsidP="0039156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3746F" w14:textId="77777777" w:rsidR="00000000" w:rsidRDefault="008D4884">
      <w:r>
        <w:separator/>
      </w:r>
    </w:p>
  </w:endnote>
  <w:endnote w:type="continuationSeparator" w:id="0">
    <w:p w14:paraId="01C9A9AA" w14:textId="77777777" w:rsidR="00000000" w:rsidRDefault="008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3A6E" w14:textId="77777777" w:rsidR="005E312C" w:rsidRDefault="005E3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1CB7" w14:paraId="2FCCE330" w14:textId="77777777" w:rsidTr="009C1E9A">
      <w:trPr>
        <w:cantSplit/>
      </w:trPr>
      <w:tc>
        <w:tcPr>
          <w:tcW w:w="0" w:type="pct"/>
        </w:tcPr>
        <w:p w14:paraId="747DE0A3" w14:textId="77777777" w:rsidR="005E312C" w:rsidRDefault="005E31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1FCA33" w14:textId="77777777" w:rsidR="005E312C" w:rsidRDefault="005E312C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9CB91C" w14:textId="77777777" w:rsidR="005E312C" w:rsidRDefault="005E312C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760B96" w14:textId="77777777" w:rsidR="005E312C" w:rsidRDefault="005E31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0A75DFA" w14:textId="77777777" w:rsidR="005E312C" w:rsidRDefault="005E31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1CB7" w14:paraId="5A2CB1B1" w14:textId="77777777" w:rsidTr="009C1E9A">
      <w:trPr>
        <w:cantSplit/>
      </w:trPr>
      <w:tc>
        <w:tcPr>
          <w:tcW w:w="0" w:type="pct"/>
        </w:tcPr>
        <w:p w14:paraId="62347816" w14:textId="77777777" w:rsidR="005E312C" w:rsidRDefault="005E31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EFCC8F" w14:textId="4B7F6B8A" w:rsidR="005E312C" w:rsidRPr="009C1E9A" w:rsidRDefault="008D48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16254</w:t>
          </w:r>
        </w:p>
      </w:tc>
      <w:tc>
        <w:tcPr>
          <w:tcW w:w="2453" w:type="pct"/>
        </w:tcPr>
        <w:p w14:paraId="37873C9A" w14:textId="6758E320" w:rsidR="005E312C" w:rsidRDefault="008D48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702B0">
            <w:t>21.80.1</w:t>
          </w:r>
          <w:r>
            <w:fldChar w:fldCharType="end"/>
          </w:r>
        </w:p>
      </w:tc>
    </w:tr>
    <w:tr w:rsidR="00081CB7" w14:paraId="63F3C014" w14:textId="77777777" w:rsidTr="009C1E9A">
      <w:trPr>
        <w:cantSplit/>
      </w:trPr>
      <w:tc>
        <w:tcPr>
          <w:tcW w:w="0" w:type="pct"/>
        </w:tcPr>
        <w:p w14:paraId="7FA9B3A8" w14:textId="77777777" w:rsidR="005E312C" w:rsidRDefault="005E31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C5E2480" w14:textId="157295D7" w:rsidR="005E312C" w:rsidRPr="009C1E9A" w:rsidRDefault="008D48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12721</w:t>
          </w:r>
        </w:p>
      </w:tc>
      <w:tc>
        <w:tcPr>
          <w:tcW w:w="2453" w:type="pct"/>
        </w:tcPr>
        <w:p w14:paraId="32AB0EB4" w14:textId="77777777" w:rsidR="005E312C" w:rsidRDefault="005E312C" w:rsidP="006D504F">
          <w:pPr>
            <w:pStyle w:val="Footer"/>
            <w:rPr>
              <w:rStyle w:val="PageNumber"/>
            </w:rPr>
          </w:pPr>
        </w:p>
        <w:p w14:paraId="675FDED0" w14:textId="77777777" w:rsidR="005E312C" w:rsidRDefault="005E31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1CB7" w14:paraId="5003849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1CBC66" w14:textId="2133AA61" w:rsidR="005E312C" w:rsidRDefault="008D48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F7C7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E745591" w14:textId="77777777" w:rsidR="005E312C" w:rsidRDefault="005E31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201E0A2" w14:textId="77777777" w:rsidR="005E312C" w:rsidRPr="00FF6F72" w:rsidRDefault="005E31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3867" w14:textId="77777777" w:rsidR="005E312C" w:rsidRDefault="005E3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6C73" w14:textId="77777777" w:rsidR="00000000" w:rsidRDefault="008D4884">
      <w:r>
        <w:separator/>
      </w:r>
    </w:p>
  </w:footnote>
  <w:footnote w:type="continuationSeparator" w:id="0">
    <w:p w14:paraId="2207C94F" w14:textId="77777777" w:rsidR="00000000" w:rsidRDefault="008D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ABE0" w14:textId="77777777" w:rsidR="005E312C" w:rsidRDefault="005E3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FAC4" w14:textId="77777777" w:rsidR="005E312C" w:rsidRDefault="005E3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9FEF" w14:textId="77777777" w:rsidR="005E312C" w:rsidRDefault="005E3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5CB"/>
    <w:multiLevelType w:val="hybridMultilevel"/>
    <w:tmpl w:val="6722D94E"/>
    <w:lvl w:ilvl="0" w:tplc="65828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B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2C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02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E3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2F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6A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43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66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D25"/>
    <w:multiLevelType w:val="hybridMultilevel"/>
    <w:tmpl w:val="2064EF6C"/>
    <w:lvl w:ilvl="0" w:tplc="F326A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22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24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80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CA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80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43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A9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7C4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B17"/>
    <w:multiLevelType w:val="hybridMultilevel"/>
    <w:tmpl w:val="AAD89230"/>
    <w:lvl w:ilvl="0" w:tplc="FA24D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84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4D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47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AF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03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C3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5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6C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2763"/>
    <w:multiLevelType w:val="hybridMultilevel"/>
    <w:tmpl w:val="6BA414DE"/>
    <w:lvl w:ilvl="0" w:tplc="6ADA8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CB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AD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22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0C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2A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4D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C3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EB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E42"/>
    <w:multiLevelType w:val="hybridMultilevel"/>
    <w:tmpl w:val="F8E2B260"/>
    <w:lvl w:ilvl="0" w:tplc="7A2A1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46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8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A8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4F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42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27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F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A4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4786"/>
    <w:multiLevelType w:val="hybridMultilevel"/>
    <w:tmpl w:val="D7045404"/>
    <w:lvl w:ilvl="0" w:tplc="8006F5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DF050FC" w:tentative="1">
      <w:start w:val="1"/>
      <w:numFmt w:val="lowerLetter"/>
      <w:lvlText w:val="%2."/>
      <w:lvlJc w:val="left"/>
      <w:pPr>
        <w:ind w:left="1440" w:hanging="360"/>
      </w:pPr>
    </w:lvl>
    <w:lvl w:ilvl="2" w:tplc="4D5E80B4" w:tentative="1">
      <w:start w:val="1"/>
      <w:numFmt w:val="lowerRoman"/>
      <w:lvlText w:val="%3."/>
      <w:lvlJc w:val="right"/>
      <w:pPr>
        <w:ind w:left="2160" w:hanging="180"/>
      </w:pPr>
    </w:lvl>
    <w:lvl w:ilvl="3" w:tplc="0D50202C" w:tentative="1">
      <w:start w:val="1"/>
      <w:numFmt w:val="decimal"/>
      <w:lvlText w:val="%4."/>
      <w:lvlJc w:val="left"/>
      <w:pPr>
        <w:ind w:left="2880" w:hanging="360"/>
      </w:pPr>
    </w:lvl>
    <w:lvl w:ilvl="4" w:tplc="9B5A6CB6" w:tentative="1">
      <w:start w:val="1"/>
      <w:numFmt w:val="lowerLetter"/>
      <w:lvlText w:val="%5."/>
      <w:lvlJc w:val="left"/>
      <w:pPr>
        <w:ind w:left="3600" w:hanging="360"/>
      </w:pPr>
    </w:lvl>
    <w:lvl w:ilvl="5" w:tplc="11A8D1B8" w:tentative="1">
      <w:start w:val="1"/>
      <w:numFmt w:val="lowerRoman"/>
      <w:lvlText w:val="%6."/>
      <w:lvlJc w:val="right"/>
      <w:pPr>
        <w:ind w:left="4320" w:hanging="180"/>
      </w:pPr>
    </w:lvl>
    <w:lvl w:ilvl="6" w:tplc="07E2B55E" w:tentative="1">
      <w:start w:val="1"/>
      <w:numFmt w:val="decimal"/>
      <w:lvlText w:val="%7."/>
      <w:lvlJc w:val="left"/>
      <w:pPr>
        <w:ind w:left="5040" w:hanging="360"/>
      </w:pPr>
    </w:lvl>
    <w:lvl w:ilvl="7" w:tplc="46D00300" w:tentative="1">
      <w:start w:val="1"/>
      <w:numFmt w:val="lowerLetter"/>
      <w:lvlText w:val="%8."/>
      <w:lvlJc w:val="left"/>
      <w:pPr>
        <w:ind w:left="5760" w:hanging="360"/>
      </w:pPr>
    </w:lvl>
    <w:lvl w:ilvl="8" w:tplc="95F0A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C95"/>
    <w:multiLevelType w:val="hybridMultilevel"/>
    <w:tmpl w:val="C58C0688"/>
    <w:lvl w:ilvl="0" w:tplc="D27A4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69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42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EF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09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89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03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25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2E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B5757"/>
    <w:multiLevelType w:val="hybridMultilevel"/>
    <w:tmpl w:val="CAD60194"/>
    <w:lvl w:ilvl="0" w:tplc="1E086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41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6D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06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8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27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06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AF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24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415F7"/>
    <w:multiLevelType w:val="hybridMultilevel"/>
    <w:tmpl w:val="CF64B3F0"/>
    <w:lvl w:ilvl="0" w:tplc="190C6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0C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2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C6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E3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8A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02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1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05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351BD"/>
    <w:multiLevelType w:val="hybridMultilevel"/>
    <w:tmpl w:val="E7987A44"/>
    <w:lvl w:ilvl="0" w:tplc="5644B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46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02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F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EB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41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6F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A4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25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C40A6"/>
    <w:multiLevelType w:val="hybridMultilevel"/>
    <w:tmpl w:val="AC887CC0"/>
    <w:lvl w:ilvl="0" w:tplc="6DC20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A9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69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0E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2B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CE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A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66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40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51ADF"/>
    <w:multiLevelType w:val="hybridMultilevel"/>
    <w:tmpl w:val="C4D80976"/>
    <w:lvl w:ilvl="0" w:tplc="DD7EA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A2A0FC" w:tentative="1">
      <w:start w:val="1"/>
      <w:numFmt w:val="lowerLetter"/>
      <w:lvlText w:val="%2."/>
      <w:lvlJc w:val="left"/>
      <w:pPr>
        <w:ind w:left="1440" w:hanging="360"/>
      </w:pPr>
    </w:lvl>
    <w:lvl w:ilvl="2" w:tplc="7FE87110" w:tentative="1">
      <w:start w:val="1"/>
      <w:numFmt w:val="lowerRoman"/>
      <w:lvlText w:val="%3."/>
      <w:lvlJc w:val="right"/>
      <w:pPr>
        <w:ind w:left="2160" w:hanging="180"/>
      </w:pPr>
    </w:lvl>
    <w:lvl w:ilvl="3" w:tplc="167040EE" w:tentative="1">
      <w:start w:val="1"/>
      <w:numFmt w:val="decimal"/>
      <w:lvlText w:val="%4."/>
      <w:lvlJc w:val="left"/>
      <w:pPr>
        <w:ind w:left="2880" w:hanging="360"/>
      </w:pPr>
    </w:lvl>
    <w:lvl w:ilvl="4" w:tplc="3B8A7994" w:tentative="1">
      <w:start w:val="1"/>
      <w:numFmt w:val="lowerLetter"/>
      <w:lvlText w:val="%5."/>
      <w:lvlJc w:val="left"/>
      <w:pPr>
        <w:ind w:left="3600" w:hanging="360"/>
      </w:pPr>
    </w:lvl>
    <w:lvl w:ilvl="5" w:tplc="89D88F5A" w:tentative="1">
      <w:start w:val="1"/>
      <w:numFmt w:val="lowerRoman"/>
      <w:lvlText w:val="%6."/>
      <w:lvlJc w:val="right"/>
      <w:pPr>
        <w:ind w:left="4320" w:hanging="180"/>
      </w:pPr>
    </w:lvl>
    <w:lvl w:ilvl="6" w:tplc="D6C49728" w:tentative="1">
      <w:start w:val="1"/>
      <w:numFmt w:val="decimal"/>
      <w:lvlText w:val="%7."/>
      <w:lvlJc w:val="left"/>
      <w:pPr>
        <w:ind w:left="5040" w:hanging="360"/>
      </w:pPr>
    </w:lvl>
    <w:lvl w:ilvl="7" w:tplc="4CD6246A" w:tentative="1">
      <w:start w:val="1"/>
      <w:numFmt w:val="lowerLetter"/>
      <w:lvlText w:val="%8."/>
      <w:lvlJc w:val="left"/>
      <w:pPr>
        <w:ind w:left="5760" w:hanging="360"/>
      </w:pPr>
    </w:lvl>
    <w:lvl w:ilvl="8" w:tplc="634E0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F11C6"/>
    <w:multiLevelType w:val="hybridMultilevel"/>
    <w:tmpl w:val="1090A486"/>
    <w:lvl w:ilvl="0" w:tplc="A70CF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2B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A6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20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2F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C8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65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CC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00"/>
    <w:rsid w:val="00000A70"/>
    <w:rsid w:val="000032B8"/>
    <w:rsid w:val="00003B06"/>
    <w:rsid w:val="000054B9"/>
    <w:rsid w:val="00007461"/>
    <w:rsid w:val="0001117E"/>
    <w:rsid w:val="0001125F"/>
    <w:rsid w:val="0001337A"/>
    <w:rsid w:val="0001337B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BD3"/>
    <w:rsid w:val="00027A7B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1CF"/>
    <w:rsid w:val="00043B84"/>
    <w:rsid w:val="0004512B"/>
    <w:rsid w:val="000463F0"/>
    <w:rsid w:val="00046BDA"/>
    <w:rsid w:val="00046DB6"/>
    <w:rsid w:val="0004762E"/>
    <w:rsid w:val="000532BD"/>
    <w:rsid w:val="00055C12"/>
    <w:rsid w:val="000608B0"/>
    <w:rsid w:val="0006104C"/>
    <w:rsid w:val="0006288D"/>
    <w:rsid w:val="00064BF2"/>
    <w:rsid w:val="000667BA"/>
    <w:rsid w:val="000676A7"/>
    <w:rsid w:val="00072981"/>
    <w:rsid w:val="00073914"/>
    <w:rsid w:val="00074236"/>
    <w:rsid w:val="000746BD"/>
    <w:rsid w:val="00076D7D"/>
    <w:rsid w:val="00080D95"/>
    <w:rsid w:val="00081CB7"/>
    <w:rsid w:val="00090E6B"/>
    <w:rsid w:val="00091B2C"/>
    <w:rsid w:val="00092ABC"/>
    <w:rsid w:val="00095852"/>
    <w:rsid w:val="00097AAF"/>
    <w:rsid w:val="00097D13"/>
    <w:rsid w:val="000A4893"/>
    <w:rsid w:val="000A4E04"/>
    <w:rsid w:val="000A54E0"/>
    <w:rsid w:val="000A72C4"/>
    <w:rsid w:val="000A7FBA"/>
    <w:rsid w:val="000B1486"/>
    <w:rsid w:val="000B3E61"/>
    <w:rsid w:val="000B4100"/>
    <w:rsid w:val="000B46B1"/>
    <w:rsid w:val="000B54AF"/>
    <w:rsid w:val="000B6090"/>
    <w:rsid w:val="000B6FEE"/>
    <w:rsid w:val="000C0238"/>
    <w:rsid w:val="000C12C4"/>
    <w:rsid w:val="000C49DA"/>
    <w:rsid w:val="000C4B3D"/>
    <w:rsid w:val="000C6DC1"/>
    <w:rsid w:val="000C6E20"/>
    <w:rsid w:val="000C76D7"/>
    <w:rsid w:val="000C7F1D"/>
    <w:rsid w:val="000D19A3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10"/>
    <w:rsid w:val="001227D3"/>
    <w:rsid w:val="0012371B"/>
    <w:rsid w:val="00123CB3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3CCE"/>
    <w:rsid w:val="00147530"/>
    <w:rsid w:val="00147D01"/>
    <w:rsid w:val="0015331F"/>
    <w:rsid w:val="00156AB2"/>
    <w:rsid w:val="00160402"/>
    <w:rsid w:val="00160571"/>
    <w:rsid w:val="0016111E"/>
    <w:rsid w:val="00161E93"/>
    <w:rsid w:val="0016260C"/>
    <w:rsid w:val="00162C7A"/>
    <w:rsid w:val="00162DAE"/>
    <w:rsid w:val="001639C5"/>
    <w:rsid w:val="00163E45"/>
    <w:rsid w:val="001664C2"/>
    <w:rsid w:val="001702B0"/>
    <w:rsid w:val="00171BF2"/>
    <w:rsid w:val="0017347B"/>
    <w:rsid w:val="00176C9C"/>
    <w:rsid w:val="0017725B"/>
    <w:rsid w:val="0018050C"/>
    <w:rsid w:val="0018117F"/>
    <w:rsid w:val="001815DB"/>
    <w:rsid w:val="001824ED"/>
    <w:rsid w:val="00183262"/>
    <w:rsid w:val="00184B03"/>
    <w:rsid w:val="00185C59"/>
    <w:rsid w:val="00187C1B"/>
    <w:rsid w:val="001908AC"/>
    <w:rsid w:val="00190CFB"/>
    <w:rsid w:val="0019342F"/>
    <w:rsid w:val="0019457A"/>
    <w:rsid w:val="00195257"/>
    <w:rsid w:val="00195388"/>
    <w:rsid w:val="0019539E"/>
    <w:rsid w:val="001968BC"/>
    <w:rsid w:val="0019786A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0ED"/>
    <w:rsid w:val="001C1230"/>
    <w:rsid w:val="001C60B5"/>
    <w:rsid w:val="001C61B0"/>
    <w:rsid w:val="001C6241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474"/>
    <w:rsid w:val="00200B9E"/>
    <w:rsid w:val="00200BF5"/>
    <w:rsid w:val="002010D1"/>
    <w:rsid w:val="00201338"/>
    <w:rsid w:val="0020185C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4E1E"/>
    <w:rsid w:val="002304DF"/>
    <w:rsid w:val="0023341D"/>
    <w:rsid w:val="002338DA"/>
    <w:rsid w:val="00233D66"/>
    <w:rsid w:val="00233FDB"/>
    <w:rsid w:val="00234F58"/>
    <w:rsid w:val="0023507D"/>
    <w:rsid w:val="0023604E"/>
    <w:rsid w:val="0024077A"/>
    <w:rsid w:val="00241EC1"/>
    <w:rsid w:val="002431DA"/>
    <w:rsid w:val="00244B2C"/>
    <w:rsid w:val="0024691D"/>
    <w:rsid w:val="00247D27"/>
    <w:rsid w:val="00250A50"/>
    <w:rsid w:val="002512E9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4FC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6DF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F24"/>
    <w:rsid w:val="0031741B"/>
    <w:rsid w:val="00321337"/>
    <w:rsid w:val="00321F2F"/>
    <w:rsid w:val="003237F6"/>
    <w:rsid w:val="00324077"/>
    <w:rsid w:val="0032453B"/>
    <w:rsid w:val="003245A9"/>
    <w:rsid w:val="00324868"/>
    <w:rsid w:val="003305F5"/>
    <w:rsid w:val="00333930"/>
    <w:rsid w:val="00336BA4"/>
    <w:rsid w:val="00336C7A"/>
    <w:rsid w:val="00337392"/>
    <w:rsid w:val="00337659"/>
    <w:rsid w:val="00340B8E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9FB"/>
    <w:rsid w:val="003747DF"/>
    <w:rsid w:val="00377E3D"/>
    <w:rsid w:val="003847E8"/>
    <w:rsid w:val="0038731D"/>
    <w:rsid w:val="00387B60"/>
    <w:rsid w:val="00387EB5"/>
    <w:rsid w:val="00390098"/>
    <w:rsid w:val="0039156C"/>
    <w:rsid w:val="00392DA1"/>
    <w:rsid w:val="00393718"/>
    <w:rsid w:val="003A0296"/>
    <w:rsid w:val="003A10BC"/>
    <w:rsid w:val="003A4B70"/>
    <w:rsid w:val="003A5C48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FE0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9AA"/>
    <w:rsid w:val="004166BB"/>
    <w:rsid w:val="004174CD"/>
    <w:rsid w:val="004241AA"/>
    <w:rsid w:val="0042422E"/>
    <w:rsid w:val="0043190E"/>
    <w:rsid w:val="00431FFA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7DB"/>
    <w:rsid w:val="004619BF"/>
    <w:rsid w:val="00461B69"/>
    <w:rsid w:val="00462B3D"/>
    <w:rsid w:val="004743E5"/>
    <w:rsid w:val="00474927"/>
    <w:rsid w:val="00475913"/>
    <w:rsid w:val="00480080"/>
    <w:rsid w:val="004824A7"/>
    <w:rsid w:val="00483AF0"/>
    <w:rsid w:val="00484167"/>
    <w:rsid w:val="00491F05"/>
    <w:rsid w:val="00492211"/>
    <w:rsid w:val="00492325"/>
    <w:rsid w:val="00492A6D"/>
    <w:rsid w:val="00494303"/>
    <w:rsid w:val="0049458F"/>
    <w:rsid w:val="0049682B"/>
    <w:rsid w:val="004A03F7"/>
    <w:rsid w:val="004A081C"/>
    <w:rsid w:val="004A123F"/>
    <w:rsid w:val="004A2172"/>
    <w:rsid w:val="004A264F"/>
    <w:rsid w:val="004A515B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616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024"/>
    <w:rsid w:val="004F32AD"/>
    <w:rsid w:val="004F57CB"/>
    <w:rsid w:val="004F64F6"/>
    <w:rsid w:val="004F69C0"/>
    <w:rsid w:val="004F7C7B"/>
    <w:rsid w:val="00500121"/>
    <w:rsid w:val="005017AC"/>
    <w:rsid w:val="00501E8A"/>
    <w:rsid w:val="00505121"/>
    <w:rsid w:val="00505C04"/>
    <w:rsid w:val="00505F1B"/>
    <w:rsid w:val="005073E8"/>
    <w:rsid w:val="00510503"/>
    <w:rsid w:val="00512874"/>
    <w:rsid w:val="0051324D"/>
    <w:rsid w:val="00515466"/>
    <w:rsid w:val="005154F7"/>
    <w:rsid w:val="005159DE"/>
    <w:rsid w:val="005269CE"/>
    <w:rsid w:val="005304B2"/>
    <w:rsid w:val="005336BD"/>
    <w:rsid w:val="00534A49"/>
    <w:rsid w:val="00534BA5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7AF"/>
    <w:rsid w:val="005819AF"/>
    <w:rsid w:val="005847EF"/>
    <w:rsid w:val="005851E6"/>
    <w:rsid w:val="005878B7"/>
    <w:rsid w:val="00587E90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C4D"/>
    <w:rsid w:val="005B3298"/>
    <w:rsid w:val="005B5516"/>
    <w:rsid w:val="005B5D2B"/>
    <w:rsid w:val="005C1496"/>
    <w:rsid w:val="005C17C5"/>
    <w:rsid w:val="005C2B21"/>
    <w:rsid w:val="005C2C00"/>
    <w:rsid w:val="005C3D77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12C"/>
    <w:rsid w:val="005E4AEB"/>
    <w:rsid w:val="005E738F"/>
    <w:rsid w:val="005E788B"/>
    <w:rsid w:val="005F1519"/>
    <w:rsid w:val="005F2037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3B6D"/>
    <w:rsid w:val="00604232"/>
    <w:rsid w:val="006049F5"/>
    <w:rsid w:val="00605F7B"/>
    <w:rsid w:val="00607E64"/>
    <w:rsid w:val="006106E9"/>
    <w:rsid w:val="0061159E"/>
    <w:rsid w:val="00612BB8"/>
    <w:rsid w:val="00614633"/>
    <w:rsid w:val="00614B99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E58"/>
    <w:rsid w:val="00662B77"/>
    <w:rsid w:val="00662D0E"/>
    <w:rsid w:val="00663265"/>
    <w:rsid w:val="0066345F"/>
    <w:rsid w:val="0066485B"/>
    <w:rsid w:val="00670332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31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390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1B5B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697"/>
    <w:rsid w:val="00742794"/>
    <w:rsid w:val="00743C4C"/>
    <w:rsid w:val="007445B7"/>
    <w:rsid w:val="00744920"/>
    <w:rsid w:val="00744B5D"/>
    <w:rsid w:val="007509BE"/>
    <w:rsid w:val="0075287B"/>
    <w:rsid w:val="00755C7B"/>
    <w:rsid w:val="00761D64"/>
    <w:rsid w:val="00764786"/>
    <w:rsid w:val="00766E12"/>
    <w:rsid w:val="0077098E"/>
    <w:rsid w:val="00771287"/>
    <w:rsid w:val="0077149E"/>
    <w:rsid w:val="00774F2F"/>
    <w:rsid w:val="00777518"/>
    <w:rsid w:val="0077779E"/>
    <w:rsid w:val="00780FB6"/>
    <w:rsid w:val="0078378C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542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79B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000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5B6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1DF"/>
    <w:rsid w:val="008806EB"/>
    <w:rsid w:val="008826F2"/>
    <w:rsid w:val="008845BA"/>
    <w:rsid w:val="00885203"/>
    <w:rsid w:val="008856E2"/>
    <w:rsid w:val="008859CA"/>
    <w:rsid w:val="008861EE"/>
    <w:rsid w:val="00890B59"/>
    <w:rsid w:val="008930D7"/>
    <w:rsid w:val="00893A3F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A92"/>
    <w:rsid w:val="008B7785"/>
    <w:rsid w:val="008C0809"/>
    <w:rsid w:val="008C132C"/>
    <w:rsid w:val="008C325E"/>
    <w:rsid w:val="008C3FD0"/>
    <w:rsid w:val="008D27A5"/>
    <w:rsid w:val="008D2AAB"/>
    <w:rsid w:val="008D309C"/>
    <w:rsid w:val="008D4884"/>
    <w:rsid w:val="008D58F9"/>
    <w:rsid w:val="008E13DC"/>
    <w:rsid w:val="008E29F0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685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2F7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52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F37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0AF"/>
    <w:rsid w:val="009F1B37"/>
    <w:rsid w:val="009F4045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977"/>
    <w:rsid w:val="00A32304"/>
    <w:rsid w:val="00A3420E"/>
    <w:rsid w:val="00A34EA5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4FFE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2F0B"/>
    <w:rsid w:val="00A837A8"/>
    <w:rsid w:val="00A83C36"/>
    <w:rsid w:val="00A932BB"/>
    <w:rsid w:val="00A93579"/>
    <w:rsid w:val="00A93934"/>
    <w:rsid w:val="00A95D51"/>
    <w:rsid w:val="00A960F8"/>
    <w:rsid w:val="00AA18AE"/>
    <w:rsid w:val="00AA228B"/>
    <w:rsid w:val="00AA597A"/>
    <w:rsid w:val="00AA7E52"/>
    <w:rsid w:val="00AB1655"/>
    <w:rsid w:val="00AB1873"/>
    <w:rsid w:val="00AB2466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114"/>
    <w:rsid w:val="00AD7780"/>
    <w:rsid w:val="00AE2263"/>
    <w:rsid w:val="00AE248E"/>
    <w:rsid w:val="00AE2D12"/>
    <w:rsid w:val="00AE2F06"/>
    <w:rsid w:val="00AE42E3"/>
    <w:rsid w:val="00AE4F1C"/>
    <w:rsid w:val="00AF1433"/>
    <w:rsid w:val="00AF48B4"/>
    <w:rsid w:val="00AF4923"/>
    <w:rsid w:val="00AF68F9"/>
    <w:rsid w:val="00AF7C74"/>
    <w:rsid w:val="00B000AF"/>
    <w:rsid w:val="00B04E79"/>
    <w:rsid w:val="00B0509E"/>
    <w:rsid w:val="00B07488"/>
    <w:rsid w:val="00B075A2"/>
    <w:rsid w:val="00B10126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3A2"/>
    <w:rsid w:val="00B43672"/>
    <w:rsid w:val="00B45DEC"/>
    <w:rsid w:val="00B473D8"/>
    <w:rsid w:val="00B5165A"/>
    <w:rsid w:val="00B524C1"/>
    <w:rsid w:val="00B52C8D"/>
    <w:rsid w:val="00B564BF"/>
    <w:rsid w:val="00B6104E"/>
    <w:rsid w:val="00B610C7"/>
    <w:rsid w:val="00B61F01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0D9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E38"/>
    <w:rsid w:val="00BD0A32"/>
    <w:rsid w:val="00BD4E55"/>
    <w:rsid w:val="00BD513B"/>
    <w:rsid w:val="00BD5E52"/>
    <w:rsid w:val="00BE00CD"/>
    <w:rsid w:val="00BE0E75"/>
    <w:rsid w:val="00BE1789"/>
    <w:rsid w:val="00BE3264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7D8"/>
    <w:rsid w:val="00C248E6"/>
    <w:rsid w:val="00C26ADD"/>
    <w:rsid w:val="00C2766F"/>
    <w:rsid w:val="00C3223B"/>
    <w:rsid w:val="00C333C6"/>
    <w:rsid w:val="00C35CC5"/>
    <w:rsid w:val="00C361C5"/>
    <w:rsid w:val="00C377D1"/>
    <w:rsid w:val="00C37BDA"/>
    <w:rsid w:val="00C37C84"/>
    <w:rsid w:val="00C41C3C"/>
    <w:rsid w:val="00C42B41"/>
    <w:rsid w:val="00C4475E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59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95E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419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2BCC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9E7"/>
    <w:rsid w:val="00D03176"/>
    <w:rsid w:val="00D060A8"/>
    <w:rsid w:val="00D06605"/>
    <w:rsid w:val="00D0720F"/>
    <w:rsid w:val="00D074E2"/>
    <w:rsid w:val="00D116AA"/>
    <w:rsid w:val="00D11B0B"/>
    <w:rsid w:val="00D12A3E"/>
    <w:rsid w:val="00D22160"/>
    <w:rsid w:val="00D22172"/>
    <w:rsid w:val="00D2301B"/>
    <w:rsid w:val="00D239EE"/>
    <w:rsid w:val="00D253D6"/>
    <w:rsid w:val="00D30534"/>
    <w:rsid w:val="00D3435B"/>
    <w:rsid w:val="00D35728"/>
    <w:rsid w:val="00D37BCF"/>
    <w:rsid w:val="00D409B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579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77E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04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13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1FD3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A87"/>
    <w:rsid w:val="00E45547"/>
    <w:rsid w:val="00E47EC9"/>
    <w:rsid w:val="00E500F1"/>
    <w:rsid w:val="00E51446"/>
    <w:rsid w:val="00E529C8"/>
    <w:rsid w:val="00E54DF6"/>
    <w:rsid w:val="00E55DA0"/>
    <w:rsid w:val="00E56033"/>
    <w:rsid w:val="00E61159"/>
    <w:rsid w:val="00E625DA"/>
    <w:rsid w:val="00E634DC"/>
    <w:rsid w:val="00E667F3"/>
    <w:rsid w:val="00E67794"/>
    <w:rsid w:val="00E70770"/>
    <w:rsid w:val="00E70CC6"/>
    <w:rsid w:val="00E71063"/>
    <w:rsid w:val="00E71254"/>
    <w:rsid w:val="00E73CCD"/>
    <w:rsid w:val="00E76453"/>
    <w:rsid w:val="00E77353"/>
    <w:rsid w:val="00E775AE"/>
    <w:rsid w:val="00E779AB"/>
    <w:rsid w:val="00E8272C"/>
    <w:rsid w:val="00E827C7"/>
    <w:rsid w:val="00E85DBD"/>
    <w:rsid w:val="00E87A99"/>
    <w:rsid w:val="00E906A4"/>
    <w:rsid w:val="00E90702"/>
    <w:rsid w:val="00E91170"/>
    <w:rsid w:val="00E9241E"/>
    <w:rsid w:val="00E93DEF"/>
    <w:rsid w:val="00E947B1"/>
    <w:rsid w:val="00E96852"/>
    <w:rsid w:val="00EA16AC"/>
    <w:rsid w:val="00EA385A"/>
    <w:rsid w:val="00EA3931"/>
    <w:rsid w:val="00EA6293"/>
    <w:rsid w:val="00EA658E"/>
    <w:rsid w:val="00EA7A88"/>
    <w:rsid w:val="00EB27F2"/>
    <w:rsid w:val="00EB3928"/>
    <w:rsid w:val="00EB5373"/>
    <w:rsid w:val="00EB7E50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0A4"/>
    <w:rsid w:val="00EE2E34"/>
    <w:rsid w:val="00EE2E91"/>
    <w:rsid w:val="00EE43A2"/>
    <w:rsid w:val="00EE46B7"/>
    <w:rsid w:val="00EE5A49"/>
    <w:rsid w:val="00EE664B"/>
    <w:rsid w:val="00EF10BA"/>
    <w:rsid w:val="00EF1738"/>
    <w:rsid w:val="00EF2524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9DE"/>
    <w:rsid w:val="00F36FE0"/>
    <w:rsid w:val="00F37EA8"/>
    <w:rsid w:val="00F40896"/>
    <w:rsid w:val="00F40B14"/>
    <w:rsid w:val="00F41186"/>
    <w:rsid w:val="00F41EEF"/>
    <w:rsid w:val="00F41FAC"/>
    <w:rsid w:val="00F423D3"/>
    <w:rsid w:val="00F430A3"/>
    <w:rsid w:val="00F44349"/>
    <w:rsid w:val="00F4569E"/>
    <w:rsid w:val="00F45AFC"/>
    <w:rsid w:val="00F462F4"/>
    <w:rsid w:val="00F50130"/>
    <w:rsid w:val="00F52402"/>
    <w:rsid w:val="00F5605D"/>
    <w:rsid w:val="00F6514B"/>
    <w:rsid w:val="00F65196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9DA"/>
    <w:rsid w:val="00F96602"/>
    <w:rsid w:val="00F9735A"/>
    <w:rsid w:val="00FA1623"/>
    <w:rsid w:val="00FA32FC"/>
    <w:rsid w:val="00FA59FD"/>
    <w:rsid w:val="00FA5D8C"/>
    <w:rsid w:val="00FA6403"/>
    <w:rsid w:val="00FB16CD"/>
    <w:rsid w:val="00FB73AE"/>
    <w:rsid w:val="00FC2D95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53B"/>
    <w:rsid w:val="00FF691A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32A6DA-674C-4C9E-9EF2-498021EB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7A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7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7A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7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7A7B"/>
    <w:rPr>
      <w:b/>
      <w:bCs/>
    </w:rPr>
  </w:style>
  <w:style w:type="paragraph" w:styleId="ListParagraph">
    <w:name w:val="List Paragraph"/>
    <w:basedOn w:val="Normal"/>
    <w:uiPriority w:val="34"/>
    <w:qFormat/>
    <w:rsid w:val="00E71063"/>
    <w:pPr>
      <w:ind w:left="720"/>
      <w:contextualSpacing/>
    </w:pPr>
  </w:style>
  <w:style w:type="paragraph" w:styleId="Revision">
    <w:name w:val="Revision"/>
    <w:hidden/>
    <w:uiPriority w:val="99"/>
    <w:semiHidden/>
    <w:rsid w:val="009F4045"/>
    <w:rPr>
      <w:sz w:val="24"/>
      <w:szCs w:val="24"/>
    </w:rPr>
  </w:style>
  <w:style w:type="character" w:styleId="Hyperlink">
    <w:name w:val="Hyperlink"/>
    <w:basedOn w:val="DefaultParagraphFont"/>
    <w:unhideWhenUsed/>
    <w:rsid w:val="00B353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B3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4114</Characters>
  <Application>Microsoft Office Word</Application>
  <DocSecurity>4</DocSecurity>
  <Lines>95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HB00365 (Committee Report (Substituted))</vt:lpstr>
    </vt:vector>
  </TitlesOfParts>
  <Company>State of Texas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16254</dc:subject>
  <dc:creator>State of Texas</dc:creator>
  <dc:description>HB 365 by Murr-(H)Judiciary &amp; Civil Jurisprudence (Substitute Document Number: 87R 12721)</dc:description>
  <cp:lastModifiedBy>Lauren Bustamente</cp:lastModifiedBy>
  <cp:revision>2</cp:revision>
  <cp:lastPrinted>2003-11-26T17:21:00Z</cp:lastPrinted>
  <dcterms:created xsi:type="dcterms:W3CDTF">2021-03-23T18:25:00Z</dcterms:created>
  <dcterms:modified xsi:type="dcterms:W3CDTF">2021-03-23T18:25:00Z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21.80.1</vt:lpwstr>
  </property>
</Properties>
</file>