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609D4" w14:paraId="27603306" w14:textId="77777777" w:rsidTr="00B23EDB">
        <w:tc>
          <w:tcPr>
            <w:tcW w:w="9576" w:type="dxa"/>
            <w:noWrap/>
          </w:tcPr>
          <w:p w14:paraId="2849842B" w14:textId="77777777" w:rsidR="008423E4" w:rsidRPr="0022177D" w:rsidRDefault="00B5554F" w:rsidP="002C2EE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0923902" w14:textId="77777777" w:rsidR="008423E4" w:rsidRPr="0022177D" w:rsidRDefault="008423E4" w:rsidP="002C2EE2">
      <w:pPr>
        <w:jc w:val="center"/>
      </w:pPr>
    </w:p>
    <w:p w14:paraId="74A1D4AB" w14:textId="77777777" w:rsidR="008423E4" w:rsidRPr="00B31F0E" w:rsidRDefault="008423E4" w:rsidP="002C2EE2"/>
    <w:p w14:paraId="7F68A73E" w14:textId="77777777" w:rsidR="008423E4" w:rsidRPr="00742794" w:rsidRDefault="008423E4" w:rsidP="002C2EE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609D4" w14:paraId="25FBBA99" w14:textId="77777777" w:rsidTr="00B23EDB">
        <w:tc>
          <w:tcPr>
            <w:tcW w:w="9576" w:type="dxa"/>
          </w:tcPr>
          <w:p w14:paraId="6CE4F0EE" w14:textId="0F0AE744" w:rsidR="008423E4" w:rsidRPr="00861995" w:rsidRDefault="00B5554F" w:rsidP="002C2EE2">
            <w:pPr>
              <w:jc w:val="right"/>
            </w:pPr>
            <w:r>
              <w:t>C.S.H.B. 390</w:t>
            </w:r>
          </w:p>
        </w:tc>
      </w:tr>
      <w:tr w:rsidR="009609D4" w14:paraId="32229505" w14:textId="77777777" w:rsidTr="00B23EDB">
        <w:tc>
          <w:tcPr>
            <w:tcW w:w="9576" w:type="dxa"/>
          </w:tcPr>
          <w:p w14:paraId="453234DB" w14:textId="18D6DE7B" w:rsidR="008423E4" w:rsidRPr="00861995" w:rsidRDefault="00B5554F" w:rsidP="009E78C2">
            <w:pPr>
              <w:jc w:val="right"/>
            </w:pPr>
            <w:r>
              <w:t xml:space="preserve">By: </w:t>
            </w:r>
            <w:r w:rsidR="009E78C2">
              <w:t>Thompson, Senfronia</w:t>
            </w:r>
          </w:p>
        </w:tc>
      </w:tr>
      <w:tr w:rsidR="009609D4" w14:paraId="009077C4" w14:textId="77777777" w:rsidTr="00B23EDB">
        <w:tc>
          <w:tcPr>
            <w:tcW w:w="9576" w:type="dxa"/>
          </w:tcPr>
          <w:p w14:paraId="73BBA406" w14:textId="0998143F" w:rsidR="008423E4" w:rsidRPr="00861995" w:rsidRDefault="00B5554F" w:rsidP="002C2EE2">
            <w:pPr>
              <w:jc w:val="right"/>
            </w:pPr>
            <w:r>
              <w:t>Business &amp; Industry</w:t>
            </w:r>
          </w:p>
        </w:tc>
      </w:tr>
      <w:tr w:rsidR="009609D4" w14:paraId="171C83A6" w14:textId="77777777" w:rsidTr="00B23EDB">
        <w:tc>
          <w:tcPr>
            <w:tcW w:w="9576" w:type="dxa"/>
          </w:tcPr>
          <w:p w14:paraId="414F37CD" w14:textId="5EC6E204" w:rsidR="008423E4" w:rsidRDefault="00B5554F" w:rsidP="002C2EE2">
            <w:pPr>
              <w:jc w:val="right"/>
            </w:pPr>
            <w:r>
              <w:t>Committee Report (Substituted)</w:t>
            </w:r>
          </w:p>
        </w:tc>
      </w:tr>
    </w:tbl>
    <w:p w14:paraId="3BF343E2" w14:textId="77777777" w:rsidR="008423E4" w:rsidRDefault="008423E4" w:rsidP="002C2EE2">
      <w:pPr>
        <w:tabs>
          <w:tab w:val="right" w:pos="9360"/>
        </w:tabs>
      </w:pPr>
    </w:p>
    <w:p w14:paraId="7E800100" w14:textId="77777777" w:rsidR="008423E4" w:rsidRDefault="008423E4" w:rsidP="002C2EE2"/>
    <w:p w14:paraId="0FB35D48" w14:textId="77777777" w:rsidR="008423E4" w:rsidRDefault="008423E4" w:rsidP="002C2EE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609D4" w14:paraId="512684D5" w14:textId="77777777" w:rsidTr="00B23EDB">
        <w:tc>
          <w:tcPr>
            <w:tcW w:w="9576" w:type="dxa"/>
          </w:tcPr>
          <w:p w14:paraId="6F0E456E" w14:textId="77777777" w:rsidR="008423E4" w:rsidRPr="00A8133F" w:rsidRDefault="00B5554F" w:rsidP="002C2EE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18A8899" w14:textId="77777777" w:rsidR="008423E4" w:rsidRDefault="008423E4" w:rsidP="002C2EE2"/>
          <w:p w14:paraId="0AA6FDF9" w14:textId="40A0B801" w:rsidR="008423E4" w:rsidRDefault="00B5554F" w:rsidP="002C2E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reported that</w:t>
            </w:r>
            <w:r w:rsidR="007C233D" w:rsidRPr="007C233D">
              <w:t xml:space="preserve"> the commercial lodging industry </w:t>
            </w:r>
            <w:r>
              <w:t>is</w:t>
            </w:r>
            <w:r w:rsidR="007C233D" w:rsidRPr="007C233D">
              <w:t xml:space="preserve"> one of the top venues for human trafficking</w:t>
            </w:r>
            <w:r>
              <w:t xml:space="preserve"> in Texas</w:t>
            </w:r>
            <w:r w:rsidR="00142FEB">
              <w:t xml:space="preserve">, with </w:t>
            </w:r>
            <w:r w:rsidR="00B82507">
              <w:t>establishments being</w:t>
            </w:r>
            <w:r w:rsidR="007C233D" w:rsidRPr="007C233D">
              <w:t xml:space="preserve"> </w:t>
            </w:r>
            <w:r w:rsidR="00B82507">
              <w:t>u</w:t>
            </w:r>
            <w:r w:rsidR="007C233D" w:rsidRPr="007C233D">
              <w:t>tiliz</w:t>
            </w:r>
            <w:r w:rsidR="00B82507">
              <w:t>ed</w:t>
            </w:r>
            <w:r w:rsidR="007C233D" w:rsidRPr="007C233D">
              <w:t xml:space="preserve"> </w:t>
            </w:r>
            <w:r w:rsidR="00B82507">
              <w:t>for</w:t>
            </w:r>
            <w:r w:rsidR="007C233D" w:rsidRPr="007C233D">
              <w:t xml:space="preserve"> forced engagement in commercial sex </w:t>
            </w:r>
            <w:r w:rsidR="00B82507">
              <w:t>or a</w:t>
            </w:r>
            <w:r w:rsidR="0085180B">
              <w:t>s a</w:t>
            </w:r>
            <w:r w:rsidR="00B82507">
              <w:t xml:space="preserve"> place of refu</w:t>
            </w:r>
            <w:r w:rsidR="0085180B">
              <w:t>g</w:t>
            </w:r>
            <w:r w:rsidR="00B82507">
              <w:t>e or</w:t>
            </w:r>
            <w:r w:rsidR="007C233D" w:rsidRPr="007C233D">
              <w:t xml:space="preserve"> temporary l</w:t>
            </w:r>
            <w:r w:rsidR="0085180B">
              <w:t>odging</w:t>
            </w:r>
            <w:r w:rsidR="00F53AB0">
              <w:t xml:space="preserve"> for trafficking victims</w:t>
            </w:r>
            <w:r w:rsidR="007C233D" w:rsidRPr="007C233D">
              <w:t xml:space="preserve">. </w:t>
            </w:r>
            <w:r w:rsidR="0085180B">
              <w:t>There are concerns</w:t>
            </w:r>
            <w:r w:rsidR="00B82507">
              <w:t xml:space="preserve"> that th</w:t>
            </w:r>
            <w:r w:rsidR="007C233D" w:rsidRPr="007C233D">
              <w:t xml:space="preserve">is industry </w:t>
            </w:r>
            <w:r w:rsidR="0085180B">
              <w:t xml:space="preserve">is not equipped with the proper </w:t>
            </w:r>
            <w:r w:rsidR="007C233D" w:rsidRPr="007C233D">
              <w:t>training to identify risk factors</w:t>
            </w:r>
            <w:r w:rsidR="00B82507">
              <w:t xml:space="preserve"> for human trafficking</w:t>
            </w:r>
            <w:r w:rsidR="007C233D" w:rsidRPr="007C233D">
              <w:t xml:space="preserve"> </w:t>
            </w:r>
            <w:r w:rsidR="0085180B">
              <w:t>and that</w:t>
            </w:r>
            <w:r w:rsidR="007C233D" w:rsidRPr="007C233D">
              <w:t xml:space="preserve"> there </w:t>
            </w:r>
            <w:r w:rsidR="0085180B">
              <w:t>are no</w:t>
            </w:r>
            <w:r w:rsidR="0085180B" w:rsidRPr="007C233D">
              <w:t xml:space="preserve"> </w:t>
            </w:r>
            <w:r w:rsidR="007C233D" w:rsidRPr="007C233D">
              <w:t>guidelines</w:t>
            </w:r>
            <w:r w:rsidR="00B61614">
              <w:t xml:space="preserve"> that would make the industry</w:t>
            </w:r>
            <w:r w:rsidR="007C233D" w:rsidRPr="007C233D">
              <w:t xml:space="preserve"> accountable</w:t>
            </w:r>
            <w:r w:rsidR="00B82507">
              <w:t xml:space="preserve"> for reporting suspected trafficking</w:t>
            </w:r>
            <w:r w:rsidR="007C233D" w:rsidRPr="007C233D">
              <w:t>.</w:t>
            </w:r>
            <w:r w:rsidR="007C233D">
              <w:t xml:space="preserve"> </w:t>
            </w:r>
            <w:r w:rsidR="00F53AB0">
              <w:t>C.S.</w:t>
            </w:r>
            <w:r w:rsidR="007C233D" w:rsidRPr="007C233D">
              <w:t>H</w:t>
            </w:r>
            <w:r w:rsidR="00B82507">
              <w:t>.</w:t>
            </w:r>
            <w:r w:rsidR="007C233D" w:rsidRPr="007C233D">
              <w:t>B</w:t>
            </w:r>
            <w:r w:rsidR="00B82507">
              <w:t>.</w:t>
            </w:r>
            <w:r w:rsidR="007C233D" w:rsidRPr="007C233D">
              <w:t xml:space="preserve"> 390 </w:t>
            </w:r>
            <w:r w:rsidR="00B82507">
              <w:t xml:space="preserve">seeks to </w:t>
            </w:r>
            <w:r w:rsidR="00F410D1">
              <w:t xml:space="preserve">provide additional opportunities for human trafficking to be spotted and reported to law enforcement by </w:t>
            </w:r>
            <w:r w:rsidR="007C233D" w:rsidRPr="007C233D">
              <w:t>requir</w:t>
            </w:r>
            <w:r w:rsidR="00F410D1">
              <w:t>ing</w:t>
            </w:r>
            <w:r w:rsidR="007C233D" w:rsidRPr="007C233D">
              <w:t xml:space="preserve"> human trafficking training for employees </w:t>
            </w:r>
            <w:r w:rsidR="00B61614">
              <w:t>directly employed by</w:t>
            </w:r>
            <w:r w:rsidR="007C233D" w:rsidRPr="007C233D">
              <w:t xml:space="preserve"> </w:t>
            </w:r>
            <w:r w:rsidR="00B23EDB">
              <w:t xml:space="preserve">certain </w:t>
            </w:r>
            <w:r w:rsidR="007C233D" w:rsidRPr="007C233D">
              <w:t>commercial lodging establishments</w:t>
            </w:r>
            <w:r w:rsidR="00F53AB0">
              <w:t>.</w:t>
            </w:r>
            <w:r w:rsidRPr="00FF059B">
              <w:t xml:space="preserve"> </w:t>
            </w:r>
          </w:p>
          <w:p w14:paraId="4369E943" w14:textId="77777777" w:rsidR="008423E4" w:rsidRPr="00E26B13" w:rsidRDefault="008423E4" w:rsidP="002C2EE2">
            <w:pPr>
              <w:rPr>
                <w:b/>
              </w:rPr>
            </w:pPr>
          </w:p>
        </w:tc>
      </w:tr>
      <w:tr w:rsidR="009609D4" w14:paraId="4EDF9405" w14:textId="77777777" w:rsidTr="00B23EDB">
        <w:tc>
          <w:tcPr>
            <w:tcW w:w="9576" w:type="dxa"/>
          </w:tcPr>
          <w:p w14:paraId="4DC2C2E2" w14:textId="77777777" w:rsidR="0017725B" w:rsidRDefault="00B5554F" w:rsidP="002C2E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3BB3A55" w14:textId="77777777" w:rsidR="0017725B" w:rsidRDefault="0017725B" w:rsidP="002C2EE2">
            <w:pPr>
              <w:rPr>
                <w:b/>
                <w:u w:val="single"/>
              </w:rPr>
            </w:pPr>
          </w:p>
          <w:p w14:paraId="00B9ADBE" w14:textId="77777777" w:rsidR="00444AE8" w:rsidRPr="00444AE8" w:rsidRDefault="00B5554F" w:rsidP="002C2EE2">
            <w:pPr>
              <w:jc w:val="both"/>
            </w:pPr>
            <w:r>
              <w:t>It is the committee's opinion that this bill does not expressly create a criminal offense, increase the punishmen</w:t>
            </w:r>
            <w:r>
              <w:t>t for an existing criminal offense or category of offenses, or change the eligibility of a person for community supervision, parole, or mandatory supervision.</w:t>
            </w:r>
          </w:p>
          <w:p w14:paraId="6E4B03D9" w14:textId="77777777" w:rsidR="0017725B" w:rsidRPr="0017725B" w:rsidRDefault="0017725B" w:rsidP="002C2EE2">
            <w:pPr>
              <w:rPr>
                <w:b/>
                <w:u w:val="single"/>
              </w:rPr>
            </w:pPr>
          </w:p>
        </w:tc>
      </w:tr>
      <w:tr w:rsidR="009609D4" w14:paraId="2A179D2D" w14:textId="77777777" w:rsidTr="00B23EDB">
        <w:tc>
          <w:tcPr>
            <w:tcW w:w="9576" w:type="dxa"/>
          </w:tcPr>
          <w:p w14:paraId="723E5051" w14:textId="77777777" w:rsidR="008423E4" w:rsidRPr="00A8133F" w:rsidRDefault="00B5554F" w:rsidP="002C2EE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B9C1EB9" w14:textId="77777777" w:rsidR="008423E4" w:rsidRDefault="008423E4" w:rsidP="002C2EE2"/>
          <w:p w14:paraId="0F537D3F" w14:textId="77777777" w:rsidR="00444AE8" w:rsidRDefault="00B5554F" w:rsidP="002C2E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</w:t>
            </w:r>
            <w:r>
              <w:t>nted to the attorney general in SECTION 1 of this bill.</w:t>
            </w:r>
          </w:p>
          <w:p w14:paraId="10F88BCB" w14:textId="77777777" w:rsidR="008423E4" w:rsidRPr="00E21FDC" w:rsidRDefault="008423E4" w:rsidP="002C2EE2">
            <w:pPr>
              <w:rPr>
                <w:b/>
              </w:rPr>
            </w:pPr>
          </w:p>
        </w:tc>
      </w:tr>
      <w:tr w:rsidR="009609D4" w14:paraId="6A050045" w14:textId="77777777" w:rsidTr="00B23EDB">
        <w:tc>
          <w:tcPr>
            <w:tcW w:w="9576" w:type="dxa"/>
          </w:tcPr>
          <w:p w14:paraId="66F58430" w14:textId="77777777" w:rsidR="008423E4" w:rsidRPr="00A8133F" w:rsidRDefault="00B5554F" w:rsidP="002C2EE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3DD1228" w14:textId="77777777" w:rsidR="008423E4" w:rsidRDefault="008423E4" w:rsidP="002C2EE2"/>
          <w:p w14:paraId="3BEC4F85" w14:textId="236481A8" w:rsidR="00FA2A00" w:rsidRDefault="00B5554F" w:rsidP="002C2E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4638F9">
              <w:t xml:space="preserve">H.B. 390 amends the </w:t>
            </w:r>
            <w:r w:rsidR="004638F9" w:rsidRPr="004638F9">
              <w:t>Business &amp; Commerce Code</w:t>
            </w:r>
            <w:r w:rsidR="00F17FA7">
              <w:t>, effective January 1, 2022,</w:t>
            </w:r>
            <w:r w:rsidR="004638F9">
              <w:t xml:space="preserve"> to </w:t>
            </w:r>
            <w:r w:rsidR="009520E8">
              <w:t xml:space="preserve">require </w:t>
            </w:r>
            <w:r w:rsidR="0076274A">
              <w:t xml:space="preserve">the </w:t>
            </w:r>
            <w:r w:rsidR="0076274A" w:rsidRPr="0076274A">
              <w:t>operator of a commercial lodging establishment</w:t>
            </w:r>
            <w:r w:rsidR="0076274A">
              <w:t xml:space="preserve"> </w:t>
            </w:r>
            <w:r w:rsidR="00956E64">
              <w:t>that offers</w:t>
            </w:r>
            <w:r w:rsidR="00A32CE9">
              <w:t xml:space="preserve"> more </w:t>
            </w:r>
            <w:r w:rsidR="005079FB">
              <w:t xml:space="preserve">than 10 </w:t>
            </w:r>
            <w:r w:rsidR="00A32CE9">
              <w:t>rooms</w:t>
            </w:r>
            <w:r w:rsidR="008350FD">
              <w:t xml:space="preserve"> to the public</w:t>
            </w:r>
            <w:r w:rsidR="00A32CE9">
              <w:t xml:space="preserve"> </w:t>
            </w:r>
            <w:r w:rsidR="0076274A">
              <w:t xml:space="preserve">to </w:t>
            </w:r>
            <w:r w:rsidR="0076274A" w:rsidRPr="0076274A">
              <w:t>require each employee</w:t>
            </w:r>
            <w:r w:rsidR="00A25A9F">
              <w:t xml:space="preserve"> </w:t>
            </w:r>
            <w:r w:rsidR="00B61614">
              <w:t xml:space="preserve">who </w:t>
            </w:r>
            <w:r w:rsidR="00FE6499">
              <w:t xml:space="preserve">is directly employed by </w:t>
            </w:r>
            <w:r w:rsidR="00A25A9F">
              <w:t xml:space="preserve">the establishment </w:t>
            </w:r>
            <w:r w:rsidR="0076274A" w:rsidRPr="0076274A">
              <w:t>to complete an annual human trafficking awareness and prevention training program.</w:t>
            </w:r>
            <w:r w:rsidR="0076274A">
              <w:t xml:space="preserve"> </w:t>
            </w:r>
            <w:r>
              <w:t>With respect to that training program</w:t>
            </w:r>
            <w:r w:rsidR="00A85B79">
              <w:t xml:space="preserve"> and any supporting supplemental training material</w:t>
            </w:r>
            <w:r>
              <w:t>, t</w:t>
            </w:r>
            <w:r w:rsidR="0013183E">
              <w:t xml:space="preserve">he bill </w:t>
            </w:r>
            <w:r>
              <w:t>does th</w:t>
            </w:r>
            <w:r>
              <w:t>e following:</w:t>
            </w:r>
          </w:p>
          <w:p w14:paraId="76EA3D41" w14:textId="7A0623A4" w:rsidR="008E6D52" w:rsidRDefault="00B5554F" w:rsidP="002C2EE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sets out the required contents of the </w:t>
            </w:r>
            <w:r w:rsidR="00A32CE9">
              <w:t>program</w:t>
            </w:r>
            <w:r>
              <w:t xml:space="preserve">, </w:t>
            </w:r>
            <w:r w:rsidR="00C60F4A">
              <w:t xml:space="preserve">which </w:t>
            </w:r>
            <w:r>
              <w:t>includ</w:t>
            </w:r>
            <w:r w:rsidR="00C60F4A">
              <w:t>e</w:t>
            </w:r>
            <w:r>
              <w:t xml:space="preserve">: </w:t>
            </w:r>
          </w:p>
          <w:p w14:paraId="52BF96DB" w14:textId="0E25A63A" w:rsidR="00FA2A00" w:rsidRDefault="00B5554F" w:rsidP="00A47CFB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an overview of human trafficking based on victim experience, occurrence in the hospitality industry, how human trafficking is defined</w:t>
            </w:r>
            <w:r w:rsidR="00C60F4A">
              <w:t>;</w:t>
            </w:r>
            <w:r w:rsidR="00640BAC">
              <w:t xml:space="preserve"> </w:t>
            </w:r>
          </w:p>
          <w:p w14:paraId="5566C1AE" w14:textId="405D7170" w:rsidR="008E6D52" w:rsidRDefault="00B5554F" w:rsidP="00A47CFB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identifying at risk individuals;</w:t>
            </w:r>
          </w:p>
          <w:p w14:paraId="5BD5B392" w14:textId="241B74AA" w:rsidR="008E6D52" w:rsidRDefault="00B5554F" w:rsidP="00A47CFB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the differe</w:t>
            </w:r>
            <w:r>
              <w:t>nce between labor and sex trafficking as it relates to trafficking in the hospitality industry;</w:t>
            </w:r>
          </w:p>
          <w:p w14:paraId="4C577353" w14:textId="362B6395" w:rsidR="008E6D52" w:rsidRDefault="00B5554F" w:rsidP="00A47CFB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guidance on the role of an employee in reporting and responding to human trafficking;</w:t>
            </w:r>
          </w:p>
          <w:p w14:paraId="39982E2F" w14:textId="08426541" w:rsidR="008E6D52" w:rsidRDefault="00B5554F" w:rsidP="00A47CFB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contact information of appropriate and specified entities for reporting pu</w:t>
            </w:r>
            <w:r>
              <w:t>rposes;</w:t>
            </w:r>
          </w:p>
          <w:p w14:paraId="6E6612DF" w14:textId="49298252" w:rsidR="00FA2A00" w:rsidRDefault="00B5554F" w:rsidP="002C2EE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requires </w:t>
            </w:r>
            <w:r w:rsidR="00A32CE9">
              <w:t xml:space="preserve">the program to be </w:t>
            </w:r>
            <w:r w:rsidR="000A5B88">
              <w:t>at least</w:t>
            </w:r>
            <w:r w:rsidR="00A32CE9">
              <w:t xml:space="preserve"> 20 minutes in duration</w:t>
            </w:r>
            <w:r>
              <w:t>;</w:t>
            </w:r>
          </w:p>
          <w:p w14:paraId="2B1E235B" w14:textId="72D4DA34" w:rsidR="00FA2A00" w:rsidRDefault="00B5554F" w:rsidP="002C2EE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requires the program</w:t>
            </w:r>
            <w:r w:rsidR="0013183E">
              <w:t xml:space="preserve"> to be</w:t>
            </w:r>
            <w:r w:rsidR="004B465F">
              <w:t xml:space="preserve"> approved by the attorney general </w:t>
            </w:r>
            <w:r>
              <w:t>or appear on</w:t>
            </w:r>
            <w:r w:rsidR="004B465F" w:rsidRPr="0013183E">
              <w:t xml:space="preserve"> </w:t>
            </w:r>
            <w:r w:rsidR="00640BAC">
              <w:t>a</w:t>
            </w:r>
            <w:r w:rsidR="004B465F" w:rsidRPr="0013183E">
              <w:t xml:space="preserve"> list of </w:t>
            </w:r>
            <w:r w:rsidR="00C60F4A">
              <w:t xml:space="preserve">applicable </w:t>
            </w:r>
            <w:r w:rsidR="00640BAC">
              <w:t xml:space="preserve">preapproved </w:t>
            </w:r>
            <w:r w:rsidR="004B465F" w:rsidRPr="0013183E">
              <w:t>programs</w:t>
            </w:r>
            <w:r>
              <w:t xml:space="preserve"> </w:t>
            </w:r>
            <w:r w:rsidR="001D0567">
              <w:t xml:space="preserve">required by the bill to be </w:t>
            </w:r>
            <w:r>
              <w:t xml:space="preserve">published </w:t>
            </w:r>
            <w:r w:rsidR="00C05035">
              <w:t>on</w:t>
            </w:r>
            <w:r>
              <w:t xml:space="preserve"> the attorney general</w:t>
            </w:r>
            <w:r w:rsidR="00C05035">
              <w:t>'s</w:t>
            </w:r>
            <w:r w:rsidR="00C60F4A">
              <w:t xml:space="preserve"> website</w:t>
            </w:r>
            <w:r>
              <w:t>;</w:t>
            </w:r>
          </w:p>
          <w:p w14:paraId="1D3B1B10" w14:textId="35303664" w:rsidR="00FA2A00" w:rsidRDefault="00B5554F" w:rsidP="002C2EE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requires a</w:t>
            </w:r>
            <w:r w:rsidR="0013183E">
              <w:t xml:space="preserve"> new </w:t>
            </w:r>
            <w:r w:rsidR="0013183E" w:rsidRPr="0013183E">
              <w:t xml:space="preserve">employee </w:t>
            </w:r>
            <w:r>
              <w:t>to complete the program</w:t>
            </w:r>
            <w:r w:rsidR="0013183E" w:rsidRPr="0013183E">
              <w:t xml:space="preserve"> not later than the </w:t>
            </w:r>
            <w:r w:rsidR="00F9730F">
              <w:t>90th</w:t>
            </w:r>
            <w:r w:rsidR="0013183E" w:rsidRPr="0013183E">
              <w:t xml:space="preserve"> day after the date the employee is hired</w:t>
            </w:r>
            <w:r>
              <w:t>;</w:t>
            </w:r>
          </w:p>
          <w:p w14:paraId="0A31D899" w14:textId="5C48B483" w:rsidR="00FA2A00" w:rsidRDefault="00B5554F" w:rsidP="002C2EE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requires the program to </w:t>
            </w:r>
            <w:r w:rsidRPr="004B465F">
              <w:t>provide a certificate of completion</w:t>
            </w:r>
            <w:r>
              <w:t>;</w:t>
            </w:r>
          </w:p>
          <w:p w14:paraId="38D036CC" w14:textId="37394438" w:rsidR="00FA2A00" w:rsidRDefault="00B5554F" w:rsidP="002C2EE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gives the option for</w:t>
            </w:r>
            <w:r w:rsidR="004B465F">
              <w:t xml:space="preserve"> the training to be offered </w:t>
            </w:r>
            <w:r w:rsidR="004B465F" w:rsidRPr="004B465F">
              <w:t>in person or online</w:t>
            </w:r>
            <w:r>
              <w:t>;</w:t>
            </w:r>
            <w:r w:rsidR="004B465F">
              <w:t xml:space="preserve"> and </w:t>
            </w:r>
          </w:p>
          <w:p w14:paraId="030E77E1" w14:textId="39FA2F50" w:rsidR="00640BAC" w:rsidRDefault="00B5554F" w:rsidP="002C2EE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requires online training to </w:t>
            </w:r>
            <w:r w:rsidRPr="004B465F">
              <w:t xml:space="preserve">include a pacing mechanism that requires </w:t>
            </w:r>
            <w:r w:rsidR="008350FD">
              <w:t>an</w:t>
            </w:r>
            <w:r w:rsidR="008350FD" w:rsidRPr="004B465F">
              <w:t xml:space="preserve"> </w:t>
            </w:r>
            <w:r w:rsidRPr="004B465F">
              <w:t>employee to read all course materials, view all videos, complete all coursework</w:t>
            </w:r>
            <w:r w:rsidR="00F9730F">
              <w:t>, and certify the employee has completed all coursework</w:t>
            </w:r>
            <w:r w:rsidRPr="004B465F">
              <w:t xml:space="preserve"> before </w:t>
            </w:r>
            <w:r w:rsidR="00F9730F">
              <w:t xml:space="preserve">issuing </w:t>
            </w:r>
            <w:r w:rsidRPr="004B465F">
              <w:t>a certificate of completion.</w:t>
            </w:r>
            <w:r>
              <w:t xml:space="preserve"> </w:t>
            </w:r>
          </w:p>
          <w:p w14:paraId="5D19A337" w14:textId="77777777" w:rsidR="00E9367B" w:rsidRDefault="00E9367B" w:rsidP="002C2E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18D2F94" w14:textId="770184F5" w:rsidR="00BE0089" w:rsidRDefault="00B5554F" w:rsidP="002C2E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</w:t>
            </w:r>
            <w:r>
              <w:t>.</w:t>
            </w:r>
            <w:r w:rsidR="00640BAC">
              <w:t xml:space="preserve">H.B. 390 </w:t>
            </w:r>
            <w:r w:rsidR="00E9367B" w:rsidRPr="003D61C2">
              <w:t xml:space="preserve">requires the attorney general by rule to establish requirements for operators </w:t>
            </w:r>
            <w:r w:rsidR="00C60F4A">
              <w:t xml:space="preserve">of </w:t>
            </w:r>
            <w:r w:rsidR="001D0567">
              <w:t>applicable</w:t>
            </w:r>
            <w:r w:rsidR="00C60F4A">
              <w:t xml:space="preserve"> commercial lodging establishments </w:t>
            </w:r>
            <w:r w:rsidR="00E9367B" w:rsidRPr="003D61C2">
              <w:t xml:space="preserve">to </w:t>
            </w:r>
            <w:r>
              <w:t>comply</w:t>
            </w:r>
            <w:r w:rsidR="00E9367B" w:rsidRPr="003D61C2">
              <w:t xml:space="preserve"> with the training requirements</w:t>
            </w:r>
            <w:r w:rsidR="00C60F4A">
              <w:t xml:space="preserve"> and</w:t>
            </w:r>
            <w:r w:rsidR="00E9367B">
              <w:t xml:space="preserve"> requires </w:t>
            </w:r>
            <w:r w:rsidR="00640BAC">
              <w:t xml:space="preserve">an operator to </w:t>
            </w:r>
            <w:r w:rsidR="00F9730F">
              <w:t>maintain</w:t>
            </w:r>
            <w:r w:rsidR="00640BAC" w:rsidRPr="00640BAC">
              <w:t xml:space="preserve"> all </w:t>
            </w:r>
            <w:r w:rsidR="00F9730F">
              <w:t>documentation and certificates of completion</w:t>
            </w:r>
            <w:r w:rsidR="00B416B5">
              <w:t xml:space="preserve"> in the form and manner prescribed by the attorney general</w:t>
            </w:r>
            <w:r w:rsidR="00F9730F">
              <w:t xml:space="preserve"> for all current and former </w:t>
            </w:r>
            <w:r w:rsidR="00640BAC" w:rsidRPr="00640BAC">
              <w:t xml:space="preserve">employees </w:t>
            </w:r>
            <w:r w:rsidR="00F9730F">
              <w:t xml:space="preserve">who </w:t>
            </w:r>
            <w:r w:rsidR="00640BAC" w:rsidRPr="00640BAC">
              <w:t>have completed the training</w:t>
            </w:r>
            <w:r w:rsidR="00640BAC">
              <w:t xml:space="preserve">. The bill requires </w:t>
            </w:r>
            <w:r w:rsidR="008350FD">
              <w:t xml:space="preserve">an </w:t>
            </w:r>
            <w:r w:rsidR="00640BAC">
              <w:t xml:space="preserve">operator to maintain sufficient records to show compliance </w:t>
            </w:r>
            <w:r>
              <w:t xml:space="preserve">with that requirement </w:t>
            </w:r>
            <w:r w:rsidR="00640BAC" w:rsidRPr="00640BAC">
              <w:t xml:space="preserve">and </w:t>
            </w:r>
            <w:r w:rsidR="00640BAC">
              <w:t>to</w:t>
            </w:r>
            <w:r w:rsidR="00640BAC" w:rsidRPr="00640BAC">
              <w:t xml:space="preserve"> provide </w:t>
            </w:r>
            <w:r w:rsidR="00640BAC">
              <w:t>those</w:t>
            </w:r>
            <w:r w:rsidR="00640BAC" w:rsidRPr="00640BAC">
              <w:t xml:space="preserve"> records to the attorney general</w:t>
            </w:r>
            <w:r w:rsidR="00640BAC">
              <w:t xml:space="preserve"> </w:t>
            </w:r>
            <w:r w:rsidR="00EB385A" w:rsidRPr="00EB385A">
              <w:t>not later than 72 hours after the attorney general requests the</w:t>
            </w:r>
            <w:r>
              <w:t>m</w:t>
            </w:r>
            <w:r w:rsidR="00EB385A" w:rsidRPr="00EB385A">
              <w:t>.</w:t>
            </w:r>
            <w:r w:rsidR="00EB385A">
              <w:t xml:space="preserve"> </w:t>
            </w:r>
          </w:p>
          <w:p w14:paraId="65197E03" w14:textId="77777777" w:rsidR="00BE0089" w:rsidRDefault="00BE0089" w:rsidP="002C2E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5200370" w14:textId="647175FF" w:rsidR="0074538D" w:rsidRDefault="00B5554F" w:rsidP="002C2E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BE0089">
              <w:t>H.B. 390</w:t>
            </w:r>
            <w:r w:rsidR="00EB385A">
              <w:t xml:space="preserve"> </w:t>
            </w:r>
            <w:r>
              <w:t>provides the following:</w:t>
            </w:r>
          </w:p>
          <w:p w14:paraId="7FEC88D8" w14:textId="5DBC08A1" w:rsidR="0074538D" w:rsidRDefault="00B5554F" w:rsidP="002C2EE2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an </w:t>
            </w:r>
            <w:r w:rsidR="00EB385A">
              <w:t xml:space="preserve">operator </w:t>
            </w:r>
            <w:r>
              <w:t xml:space="preserve">must </w:t>
            </w:r>
            <w:r w:rsidR="003B20C2">
              <w:t xml:space="preserve">display at </w:t>
            </w:r>
            <w:r w:rsidR="00056F68">
              <w:t>the operator's</w:t>
            </w:r>
            <w:r w:rsidR="003B20C2" w:rsidRPr="003B20C2">
              <w:t xml:space="preserve"> establishment</w:t>
            </w:r>
            <w:r w:rsidR="003B20C2">
              <w:t xml:space="preserve"> a sign </w:t>
            </w:r>
            <w:r w:rsidR="008460A5">
              <w:t>concerning reporting human traffickin</w:t>
            </w:r>
            <w:r w:rsidR="00CB1B0A">
              <w:t>g in a form prescribed by the attorney general and as specified by the bill with respect to the</w:t>
            </w:r>
            <w:r w:rsidR="008460A5">
              <w:t xml:space="preserve"> </w:t>
            </w:r>
            <w:r w:rsidR="00B416B5">
              <w:t xml:space="preserve">overall </w:t>
            </w:r>
            <w:r>
              <w:t xml:space="preserve">size, </w:t>
            </w:r>
            <w:r w:rsidR="00B416B5">
              <w:t xml:space="preserve">font size, </w:t>
            </w:r>
            <w:r>
              <w:t xml:space="preserve">content, </w:t>
            </w:r>
            <w:r w:rsidR="007F0CF7">
              <w:t xml:space="preserve">language, </w:t>
            </w:r>
            <w:r>
              <w:t xml:space="preserve">and location of </w:t>
            </w:r>
            <w:r w:rsidR="008460A5">
              <w:t>the sign</w:t>
            </w:r>
            <w:r>
              <w:t>;</w:t>
            </w:r>
          </w:p>
          <w:p w14:paraId="19DE5443" w14:textId="26C93539" w:rsidR="0074538D" w:rsidRDefault="00B5554F" w:rsidP="002C2EE2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attorney general by rule </w:t>
            </w:r>
            <w:r w:rsidR="00CB1B0A">
              <w:t xml:space="preserve">must </w:t>
            </w:r>
            <w:r w:rsidRPr="00E9367B">
              <w:t xml:space="preserve">create and make available </w:t>
            </w:r>
            <w:r>
              <w:t xml:space="preserve">a template for the sign and </w:t>
            </w:r>
            <w:r w:rsidR="003B5A86">
              <w:t xml:space="preserve">by rule </w:t>
            </w:r>
            <w:r w:rsidR="005279E8">
              <w:t xml:space="preserve">must </w:t>
            </w:r>
            <w:r>
              <w:t>d</w:t>
            </w:r>
            <w:r>
              <w:t>esignate a telephone number for reporting a suspected act of human trafficking or a violation of the bill's provisions</w:t>
            </w:r>
            <w:r w:rsidR="00657A5E">
              <w:t>;</w:t>
            </w:r>
          </w:p>
          <w:p w14:paraId="6AC1F86C" w14:textId="008D9DEC" w:rsidR="00657A5E" w:rsidRDefault="00B5554F" w:rsidP="002C2EE2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an operator </w:t>
            </w:r>
            <w:r w:rsidR="00C94654">
              <w:t xml:space="preserve">may not </w:t>
            </w:r>
            <w:r>
              <w:t>disciplin</w:t>
            </w:r>
            <w:r w:rsidR="00C94654">
              <w:t>e</w:t>
            </w:r>
            <w:r w:rsidR="005279E8">
              <w:t>,</w:t>
            </w:r>
            <w:r>
              <w:t xml:space="preserve"> retaliat</w:t>
            </w:r>
            <w:r w:rsidR="00C94654">
              <w:t>e</w:t>
            </w:r>
            <w:r w:rsidRPr="008460A5">
              <w:t xml:space="preserve"> ag</w:t>
            </w:r>
            <w:r>
              <w:t>ainst, or otherwise discriminat</w:t>
            </w:r>
            <w:r w:rsidR="00C94654">
              <w:t>e</w:t>
            </w:r>
            <w:r w:rsidRPr="008460A5">
              <w:t xml:space="preserve"> against an employee who in good faith reports a suspected a</w:t>
            </w:r>
            <w:r w:rsidRPr="008460A5">
              <w:t>ct of human trafficking to the operator</w:t>
            </w:r>
            <w:r w:rsidR="00B416B5">
              <w:t xml:space="preserve">, a law enforcement agency, the National Human Trafficking Resource Center, the attorney general, </w:t>
            </w:r>
            <w:r>
              <w:t>or an</w:t>
            </w:r>
            <w:r w:rsidR="008350FD">
              <w:t>other</w:t>
            </w:r>
            <w:r>
              <w:t xml:space="preserve"> appropriate authority; and</w:t>
            </w:r>
          </w:p>
          <w:p w14:paraId="67F5F3A1" w14:textId="1C300FAE" w:rsidR="00657A5E" w:rsidRDefault="00B5554F" w:rsidP="002C2EE2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a peace officer may enter the premises of a commercial lodging establishment betw</w:t>
            </w:r>
            <w:r>
              <w:t xml:space="preserve">een </w:t>
            </w:r>
            <w:r w:rsidR="0017733E" w:rsidRPr="0017733E">
              <w:t>the hours of 9 a.m. and 5 p.m.</w:t>
            </w:r>
            <w:r w:rsidR="005279E8">
              <w:t>,</w:t>
            </w:r>
            <w:r w:rsidR="0017733E" w:rsidRPr="0017733E">
              <w:t xml:space="preserve"> Monday through Friday</w:t>
            </w:r>
            <w:r w:rsidR="005279E8">
              <w:t>,</w:t>
            </w:r>
            <w:r w:rsidR="0017733E" w:rsidRPr="0017733E">
              <w:t xml:space="preserve"> to ensure compliance</w:t>
            </w:r>
            <w:r w:rsidR="0017733E">
              <w:t xml:space="preserve"> with the bill's provisions.</w:t>
            </w:r>
            <w:r w:rsidR="00013C31">
              <w:t xml:space="preserve"> </w:t>
            </w:r>
          </w:p>
          <w:p w14:paraId="746AFD13" w14:textId="77777777" w:rsidR="00657A5E" w:rsidRDefault="00657A5E" w:rsidP="002C2E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5925249" w14:textId="7349275A" w:rsidR="001A47F7" w:rsidRDefault="00B5554F" w:rsidP="002C2E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657A5E">
              <w:t>H.B. 390</w:t>
            </w:r>
            <w:r w:rsidR="005251CC">
              <w:t xml:space="preserve"> </w:t>
            </w:r>
            <w:r w:rsidR="00013C31">
              <w:t xml:space="preserve">requires the attorney general to </w:t>
            </w:r>
            <w:r w:rsidR="00013C31" w:rsidRPr="00013C31">
              <w:t xml:space="preserve">provide </w:t>
            </w:r>
            <w:r w:rsidR="007F0CF7" w:rsidRPr="00013C31">
              <w:t xml:space="preserve">written notice </w:t>
            </w:r>
            <w:r w:rsidR="00013C31" w:rsidRPr="00013C31">
              <w:t xml:space="preserve">to an operator believed to have violated the bill's provisions </w:t>
            </w:r>
            <w:r w:rsidR="00013C31">
              <w:t xml:space="preserve">that describes the violation and </w:t>
            </w:r>
            <w:r w:rsidR="00657A5E">
              <w:t xml:space="preserve">provides the following: </w:t>
            </w:r>
          </w:p>
          <w:p w14:paraId="74BF405A" w14:textId="6C7ACEAE" w:rsidR="001A47F7" w:rsidRDefault="00B5554F" w:rsidP="002C2EE2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notice must </w:t>
            </w:r>
            <w:r w:rsidR="00013C31">
              <w:t xml:space="preserve">state the maximum civil penalty </w:t>
            </w:r>
            <w:r w:rsidR="003A1095">
              <w:t xml:space="preserve">for which </w:t>
            </w:r>
            <w:r w:rsidR="00013C31">
              <w:t>the</w:t>
            </w:r>
            <w:r w:rsidR="00BE0089">
              <w:t xml:space="preserve"> </w:t>
            </w:r>
            <w:r w:rsidR="00013C31">
              <w:t xml:space="preserve">establishment may be liable if the operator does not cure the violation </w:t>
            </w:r>
            <w:r w:rsidR="00013C31" w:rsidRPr="00013C31">
              <w:t xml:space="preserve">before the 30th day after </w:t>
            </w:r>
            <w:r w:rsidR="007F0CF7">
              <w:t>receipt of</w:t>
            </w:r>
            <w:r w:rsidR="00013C31" w:rsidRPr="00013C31">
              <w:t xml:space="preserve"> the notice</w:t>
            </w:r>
            <w:r>
              <w:t>;</w:t>
            </w:r>
          </w:p>
          <w:p w14:paraId="65ABE3E1" w14:textId="77777777" w:rsidR="001A47F7" w:rsidRDefault="00B5554F" w:rsidP="002C2EE2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 w:rsidR="00F17FA7">
              <w:t>he amount of</w:t>
            </w:r>
            <w:r w:rsidR="001757B6">
              <w:t xml:space="preserve"> that penalty </w:t>
            </w:r>
            <w:r>
              <w:t xml:space="preserve">is capped </w:t>
            </w:r>
            <w:r w:rsidR="001757B6">
              <w:t>at $500 for each day a violation continues</w:t>
            </w:r>
            <w:r w:rsidR="00956E64">
              <w:t>,</w:t>
            </w:r>
            <w:r w:rsidR="001757B6">
              <w:t xml:space="preserve"> if the operator fails to cure the violation before the deadlin</w:t>
            </w:r>
            <w:r>
              <w:t>e;</w:t>
            </w:r>
          </w:p>
          <w:p w14:paraId="2FFE1D72" w14:textId="364D2783" w:rsidR="001A47F7" w:rsidRDefault="00B5554F" w:rsidP="002C2EE2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a court must consider certain</w:t>
            </w:r>
            <w:r w:rsidR="008350FD">
              <w:t xml:space="preserve"> </w:t>
            </w:r>
            <w:r>
              <w:t xml:space="preserve">factors as specified in the bill in determining the </w:t>
            </w:r>
            <w:r w:rsidR="001F17E1">
              <w:t xml:space="preserve">penalty </w:t>
            </w:r>
            <w:r>
              <w:t>amount; and</w:t>
            </w:r>
          </w:p>
          <w:p w14:paraId="24AC476F" w14:textId="7776D38E" w:rsidR="001A47F7" w:rsidRDefault="00B5554F" w:rsidP="002C2EE2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 w:rsidR="001757B6">
              <w:t xml:space="preserve">he attorney general </w:t>
            </w:r>
            <w:r>
              <w:t>ma</w:t>
            </w:r>
            <w:r>
              <w:t xml:space="preserve">y </w:t>
            </w:r>
            <w:r w:rsidR="001757B6" w:rsidRPr="001757B6">
              <w:t>bring an action in the name of the state</w:t>
            </w:r>
            <w:r w:rsidR="001757B6">
              <w:t xml:space="preserve"> to recover </w:t>
            </w:r>
            <w:r w:rsidR="00956E64">
              <w:t xml:space="preserve">such </w:t>
            </w:r>
            <w:r w:rsidR="001757B6">
              <w:t xml:space="preserve">a civil penalty or </w:t>
            </w:r>
            <w:r w:rsidR="001757B6" w:rsidRPr="001757B6">
              <w:t>for injunctive relief to require compliance with</w:t>
            </w:r>
            <w:r w:rsidR="001757B6">
              <w:t xml:space="preserve"> the bill's provisions. </w:t>
            </w:r>
          </w:p>
          <w:p w14:paraId="446362DC" w14:textId="4A75CFA8" w:rsidR="0076274A" w:rsidRDefault="00B5554F" w:rsidP="002C2E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="00956E64">
              <w:t>specifies</w:t>
            </w:r>
            <w:r w:rsidR="00F17FA7">
              <w:t xml:space="preserve"> the venue for such an action and</w:t>
            </w:r>
            <w:r w:rsidR="003D61C2">
              <w:t xml:space="preserve"> </w:t>
            </w:r>
            <w:r w:rsidR="003D61C2" w:rsidRPr="003D61C2">
              <w:t>authorizes the attorney general to</w:t>
            </w:r>
            <w:r w:rsidR="003D61C2">
              <w:t xml:space="preserve"> </w:t>
            </w:r>
            <w:r w:rsidR="003D61C2" w:rsidRPr="003D61C2">
              <w:t xml:space="preserve">recover reasonable expenses incurred in obtaining </w:t>
            </w:r>
            <w:r w:rsidR="00956E64">
              <w:t>a remedy</w:t>
            </w:r>
            <w:r w:rsidR="003D61C2">
              <w:t xml:space="preserve">. </w:t>
            </w:r>
          </w:p>
          <w:p w14:paraId="33D47846" w14:textId="77777777" w:rsidR="003D61C2" w:rsidRDefault="003D61C2" w:rsidP="002C2E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916F3E9" w14:textId="39D613BD" w:rsidR="009C36CD" w:rsidRPr="009C36CD" w:rsidRDefault="00B5554F" w:rsidP="002C2E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3D61C2">
              <w:t xml:space="preserve">H.B. 390 </w:t>
            </w:r>
            <w:r w:rsidR="00444AE8">
              <w:t xml:space="preserve">requires the attorney general to adopt rules necessary to implement the bill's provisions not later than </w:t>
            </w:r>
            <w:r w:rsidR="00444AE8" w:rsidRPr="00444AE8">
              <w:t>December 1, 2021</w:t>
            </w:r>
            <w:r w:rsidR="00444AE8">
              <w:t xml:space="preserve">. </w:t>
            </w:r>
          </w:p>
          <w:p w14:paraId="009833B9" w14:textId="77777777" w:rsidR="008423E4" w:rsidRPr="00835628" w:rsidRDefault="008423E4" w:rsidP="002C2EE2">
            <w:pPr>
              <w:rPr>
                <w:b/>
              </w:rPr>
            </w:pPr>
          </w:p>
        </w:tc>
      </w:tr>
      <w:tr w:rsidR="009609D4" w14:paraId="328FE953" w14:textId="77777777" w:rsidTr="00B23EDB">
        <w:tc>
          <w:tcPr>
            <w:tcW w:w="9576" w:type="dxa"/>
          </w:tcPr>
          <w:p w14:paraId="5CE83C85" w14:textId="5EF479BB" w:rsidR="008423E4" w:rsidRPr="00A8133F" w:rsidRDefault="00B5554F" w:rsidP="002C2EE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</w:p>
          <w:p w14:paraId="54669D5F" w14:textId="77777777" w:rsidR="008423E4" w:rsidRDefault="008423E4" w:rsidP="002C2EE2"/>
          <w:p w14:paraId="7FB0244B" w14:textId="5F4493BF" w:rsidR="008423E4" w:rsidRPr="003624F2" w:rsidRDefault="00B5554F" w:rsidP="002C2E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Except as otherwise provided, </w:t>
            </w:r>
            <w:r w:rsidR="00444AE8">
              <w:t>September 1, 2021.</w:t>
            </w:r>
          </w:p>
          <w:p w14:paraId="236D48D5" w14:textId="77777777" w:rsidR="008423E4" w:rsidRPr="00233FDB" w:rsidRDefault="008423E4" w:rsidP="002C2EE2">
            <w:pPr>
              <w:rPr>
                <w:b/>
              </w:rPr>
            </w:pPr>
          </w:p>
        </w:tc>
      </w:tr>
      <w:tr w:rsidR="009609D4" w14:paraId="55B05D5F" w14:textId="77777777" w:rsidTr="00B23EDB">
        <w:tc>
          <w:tcPr>
            <w:tcW w:w="9576" w:type="dxa"/>
          </w:tcPr>
          <w:p w14:paraId="2BC8DA69" w14:textId="77777777" w:rsidR="009E78C2" w:rsidRDefault="00B5554F" w:rsidP="009E78C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9914927" w14:textId="4CE29708" w:rsidR="0017733E" w:rsidRPr="009E78C2" w:rsidRDefault="0017733E" w:rsidP="009E78C2">
            <w:pPr>
              <w:jc w:val="both"/>
              <w:rPr>
                <w:b/>
                <w:u w:val="single"/>
              </w:rPr>
            </w:pPr>
          </w:p>
        </w:tc>
      </w:tr>
      <w:tr w:rsidR="009609D4" w14:paraId="4F368B4B" w14:textId="77777777" w:rsidTr="00B23EDB">
        <w:tc>
          <w:tcPr>
            <w:tcW w:w="9576" w:type="dxa"/>
          </w:tcPr>
          <w:p w14:paraId="053236D3" w14:textId="77777777" w:rsidR="00F3018A" w:rsidRDefault="00B5554F" w:rsidP="00F3018A">
            <w:pPr>
              <w:jc w:val="both"/>
            </w:pPr>
            <w:r>
              <w:t>While C.S.H.B. 390 may differ from the original in minor or nonsubstantive ways, the following summarizes the substantial differences between the introduced and committee substitute versions of the bill.</w:t>
            </w:r>
          </w:p>
          <w:p w14:paraId="726DE735" w14:textId="77777777" w:rsidR="00F3018A" w:rsidRDefault="00F3018A" w:rsidP="00F3018A">
            <w:pPr>
              <w:jc w:val="both"/>
            </w:pPr>
          </w:p>
          <w:p w14:paraId="7D4BE30C" w14:textId="77777777" w:rsidR="00F3018A" w:rsidRDefault="00B5554F" w:rsidP="00F3018A">
            <w:pPr>
              <w:jc w:val="both"/>
            </w:pPr>
            <w:r>
              <w:t>The substitute includes provisions that, as follows:</w:t>
            </w:r>
          </w:p>
          <w:p w14:paraId="63523ADE" w14:textId="77777777" w:rsidR="00F3018A" w:rsidRDefault="00B5554F" w:rsidP="00F3018A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 xml:space="preserve">specify that the training requirement applies only to each employee who is directly employed by the commercial lodging establishment; </w:t>
            </w:r>
          </w:p>
          <w:p w14:paraId="64A94C0F" w14:textId="77777777" w:rsidR="00F3018A" w:rsidRDefault="00B5554F" w:rsidP="00F3018A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 xml:space="preserve">clarify that the training program requirements apply also to any supporting supplemental training material; </w:t>
            </w:r>
          </w:p>
          <w:p w14:paraId="4DD7CD7D" w14:textId="5C60526E" w:rsidR="00F3018A" w:rsidRDefault="00B5554F" w:rsidP="00F3018A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 xml:space="preserve">require the online training, rather than generating a certificate of completion after completion of all coursework, </w:t>
            </w:r>
            <w:r w:rsidR="0010481E">
              <w:t xml:space="preserve">instead </w:t>
            </w:r>
            <w:r>
              <w:t>to</w:t>
            </w:r>
            <w:r w:rsidR="0010481E">
              <w:t xml:space="preserve"> issue a </w:t>
            </w:r>
            <w:r w:rsidR="0010481E" w:rsidRPr="005E1044">
              <w:t>certificate of completion</w:t>
            </w:r>
            <w:r w:rsidR="0010481E">
              <w:t xml:space="preserve"> after certifying</w:t>
            </w:r>
            <w:r>
              <w:t xml:space="preserve"> </w:t>
            </w:r>
            <w:r w:rsidRPr="005E1044">
              <w:t>that the employee has completed all coursework</w:t>
            </w:r>
            <w:r>
              <w:t xml:space="preserve">; and </w:t>
            </w:r>
          </w:p>
          <w:p w14:paraId="6AF31FC8" w14:textId="77777777" w:rsidR="00F3018A" w:rsidRDefault="00B5554F" w:rsidP="00F3018A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 xml:space="preserve">authorize a peace officer to enter the premises of a commercial lodging establishment to ensure compliance with the bill's provisions. </w:t>
            </w:r>
          </w:p>
          <w:p w14:paraId="0C1720AA" w14:textId="77777777" w:rsidR="00F3018A" w:rsidRDefault="00F3018A" w:rsidP="00F3018A">
            <w:pPr>
              <w:jc w:val="both"/>
            </w:pPr>
          </w:p>
          <w:p w14:paraId="6E4CC789" w14:textId="77777777" w:rsidR="00F3018A" w:rsidRDefault="00B5554F" w:rsidP="00F3018A">
            <w:pPr>
              <w:jc w:val="both"/>
            </w:pPr>
            <w:r>
              <w:t>The substitute changes the deadline</w:t>
            </w:r>
            <w:r>
              <w:t xml:space="preserve"> for completion of the training program by an applicable new employee.</w:t>
            </w:r>
          </w:p>
          <w:p w14:paraId="128FD24D" w14:textId="77777777" w:rsidR="00F3018A" w:rsidRDefault="00F3018A" w:rsidP="00F3018A">
            <w:pPr>
              <w:jc w:val="both"/>
            </w:pPr>
          </w:p>
          <w:p w14:paraId="0F4E704A" w14:textId="32838D72" w:rsidR="000A433F" w:rsidRPr="009C1E9A" w:rsidRDefault="00B5554F" w:rsidP="00F3018A">
            <w:pPr>
              <w:rPr>
                <w:b/>
                <w:u w:val="single"/>
              </w:rPr>
            </w:pPr>
            <w:r>
              <w:t>The substitute does not include a requirement for an operator to certify annually to the attorney general that all employees have completed the required training. The substitute includ</w:t>
            </w:r>
            <w:r>
              <w:t>es a provision that instead requires an operator to maintain all documentation and certificates of completion for all current and former employees.</w:t>
            </w:r>
          </w:p>
        </w:tc>
      </w:tr>
      <w:tr w:rsidR="009609D4" w14:paraId="33DEEDB3" w14:textId="77777777" w:rsidTr="00B23EDB">
        <w:tc>
          <w:tcPr>
            <w:tcW w:w="9576" w:type="dxa"/>
          </w:tcPr>
          <w:p w14:paraId="443156E2" w14:textId="77777777" w:rsidR="000A433F" w:rsidRPr="009E78C2" w:rsidRDefault="000A433F" w:rsidP="009E78C2">
            <w:pPr>
              <w:spacing w:line="480" w:lineRule="auto"/>
              <w:jc w:val="both"/>
            </w:pPr>
          </w:p>
        </w:tc>
      </w:tr>
      <w:tr w:rsidR="009609D4" w14:paraId="3574414B" w14:textId="77777777" w:rsidTr="00B23EDB">
        <w:tc>
          <w:tcPr>
            <w:tcW w:w="9576" w:type="dxa"/>
          </w:tcPr>
          <w:p w14:paraId="778E9EEF" w14:textId="77777777" w:rsidR="009E78C2" w:rsidRPr="000A433F" w:rsidRDefault="009E78C2" w:rsidP="002C2EE2">
            <w:pPr>
              <w:jc w:val="both"/>
            </w:pPr>
          </w:p>
        </w:tc>
      </w:tr>
      <w:tr w:rsidR="009609D4" w14:paraId="5303F1BC" w14:textId="77777777" w:rsidTr="00B23EDB">
        <w:tc>
          <w:tcPr>
            <w:tcW w:w="9576" w:type="dxa"/>
          </w:tcPr>
          <w:p w14:paraId="6B4BB8F8" w14:textId="77777777" w:rsidR="009E78C2" w:rsidRPr="000A433F" w:rsidRDefault="009E78C2" w:rsidP="002C2EE2">
            <w:pPr>
              <w:jc w:val="both"/>
            </w:pPr>
          </w:p>
        </w:tc>
      </w:tr>
      <w:tr w:rsidR="009609D4" w14:paraId="0C8D27E1" w14:textId="77777777" w:rsidTr="00B23EDB">
        <w:tc>
          <w:tcPr>
            <w:tcW w:w="9576" w:type="dxa"/>
          </w:tcPr>
          <w:p w14:paraId="63CB6276" w14:textId="77777777" w:rsidR="009E78C2" w:rsidRPr="000A433F" w:rsidRDefault="009E78C2" w:rsidP="002C2EE2">
            <w:pPr>
              <w:jc w:val="both"/>
            </w:pPr>
          </w:p>
        </w:tc>
      </w:tr>
    </w:tbl>
    <w:p w14:paraId="55F6D5BD" w14:textId="77777777" w:rsidR="008423E4" w:rsidRPr="00BE0E75" w:rsidRDefault="008423E4" w:rsidP="002C2EE2">
      <w:pPr>
        <w:jc w:val="both"/>
        <w:rPr>
          <w:rFonts w:ascii="Arial" w:hAnsi="Arial"/>
          <w:sz w:val="16"/>
          <w:szCs w:val="16"/>
        </w:rPr>
      </w:pPr>
    </w:p>
    <w:p w14:paraId="7972A386" w14:textId="77777777" w:rsidR="004108C3" w:rsidRPr="008423E4" w:rsidRDefault="004108C3" w:rsidP="002C2EE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2AD07" w14:textId="77777777" w:rsidR="00000000" w:rsidRDefault="00B5554F">
      <w:r>
        <w:separator/>
      </w:r>
    </w:p>
  </w:endnote>
  <w:endnote w:type="continuationSeparator" w:id="0">
    <w:p w14:paraId="66B8C201" w14:textId="77777777" w:rsidR="00000000" w:rsidRDefault="00B5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FE753" w14:textId="77777777" w:rsidR="0046542C" w:rsidRDefault="00465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609D4" w14:paraId="783B9A46" w14:textId="77777777" w:rsidTr="009C1E9A">
      <w:trPr>
        <w:cantSplit/>
      </w:trPr>
      <w:tc>
        <w:tcPr>
          <w:tcW w:w="0" w:type="pct"/>
        </w:tcPr>
        <w:p w14:paraId="63AAA53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490680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2F3877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3A1DA6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344249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09D4" w14:paraId="10F6265C" w14:textId="77777777" w:rsidTr="009C1E9A">
      <w:trPr>
        <w:cantSplit/>
      </w:trPr>
      <w:tc>
        <w:tcPr>
          <w:tcW w:w="0" w:type="pct"/>
        </w:tcPr>
        <w:p w14:paraId="219A7A3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E4EB94A" w14:textId="671B5153" w:rsidR="00EC379B" w:rsidRPr="009C1E9A" w:rsidRDefault="00B5554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16335</w:t>
          </w:r>
        </w:p>
      </w:tc>
      <w:tc>
        <w:tcPr>
          <w:tcW w:w="2453" w:type="pct"/>
        </w:tcPr>
        <w:p w14:paraId="6D271FA6" w14:textId="53A0BF1A" w:rsidR="00EC379B" w:rsidRDefault="00B555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4447F">
            <w:t>21.77.1122</w:t>
          </w:r>
          <w:r>
            <w:fldChar w:fldCharType="end"/>
          </w:r>
        </w:p>
      </w:tc>
    </w:tr>
    <w:tr w:rsidR="009609D4" w14:paraId="3D79122C" w14:textId="77777777" w:rsidTr="009C1E9A">
      <w:trPr>
        <w:cantSplit/>
      </w:trPr>
      <w:tc>
        <w:tcPr>
          <w:tcW w:w="0" w:type="pct"/>
        </w:tcPr>
        <w:p w14:paraId="4E2A3F0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5C1FFA9" w14:textId="5113C398" w:rsidR="00EC379B" w:rsidRPr="009C1E9A" w:rsidRDefault="00B5554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13376</w:t>
          </w:r>
        </w:p>
      </w:tc>
      <w:tc>
        <w:tcPr>
          <w:tcW w:w="2453" w:type="pct"/>
        </w:tcPr>
        <w:p w14:paraId="3E79CEB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1FCE20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09D4" w14:paraId="45D8926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8BAE8B7" w14:textId="353E3FB0" w:rsidR="00EC379B" w:rsidRDefault="00B5554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47CFB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14:paraId="657EA04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0761B0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C2F41" w14:textId="77777777" w:rsidR="0046542C" w:rsidRDefault="00465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20F42" w14:textId="77777777" w:rsidR="00000000" w:rsidRDefault="00B5554F">
      <w:r>
        <w:separator/>
      </w:r>
    </w:p>
  </w:footnote>
  <w:footnote w:type="continuationSeparator" w:id="0">
    <w:p w14:paraId="6AD63AF1" w14:textId="77777777" w:rsidR="00000000" w:rsidRDefault="00B55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41512" w14:textId="77777777" w:rsidR="0046542C" w:rsidRDefault="004654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D492C" w14:textId="77777777" w:rsidR="0046542C" w:rsidRDefault="004654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3F081" w14:textId="77777777" w:rsidR="0046542C" w:rsidRDefault="00465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1DB5"/>
    <w:multiLevelType w:val="hybridMultilevel"/>
    <w:tmpl w:val="E3526CE0"/>
    <w:lvl w:ilvl="0" w:tplc="3A10F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02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8A30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C7E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EF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60D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4D4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0F4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D0C7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B3EA3"/>
    <w:multiLevelType w:val="hybridMultilevel"/>
    <w:tmpl w:val="6AA0F58E"/>
    <w:lvl w:ilvl="0" w:tplc="E912D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FAC1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D2C7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A84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0A7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3020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E77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E8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3A4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1A92"/>
    <w:multiLevelType w:val="hybridMultilevel"/>
    <w:tmpl w:val="05F038B0"/>
    <w:lvl w:ilvl="0" w:tplc="1B6EC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608D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8421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24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422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5430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09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66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86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D49FA"/>
    <w:multiLevelType w:val="hybridMultilevel"/>
    <w:tmpl w:val="74429544"/>
    <w:lvl w:ilvl="0" w:tplc="F78A2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0A4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0402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34A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CFF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42D7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882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85E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6CD7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46240"/>
    <w:multiLevelType w:val="hybridMultilevel"/>
    <w:tmpl w:val="E88287F4"/>
    <w:lvl w:ilvl="0" w:tplc="8E305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1898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701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48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C9C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AC15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E5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E0B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0C88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47740"/>
    <w:multiLevelType w:val="hybridMultilevel"/>
    <w:tmpl w:val="4EEC09BA"/>
    <w:lvl w:ilvl="0" w:tplc="51049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6A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7A9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23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EA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CAC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21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618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9E3F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F9"/>
    <w:rsid w:val="00000A70"/>
    <w:rsid w:val="000032B8"/>
    <w:rsid w:val="00003B06"/>
    <w:rsid w:val="000054B9"/>
    <w:rsid w:val="00007461"/>
    <w:rsid w:val="0001117E"/>
    <w:rsid w:val="0001125F"/>
    <w:rsid w:val="0001338E"/>
    <w:rsid w:val="00013C31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2E1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6F68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33F"/>
    <w:rsid w:val="000A4893"/>
    <w:rsid w:val="000A54E0"/>
    <w:rsid w:val="000A5B88"/>
    <w:rsid w:val="000A72C4"/>
    <w:rsid w:val="000B1486"/>
    <w:rsid w:val="000B3D6D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481E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183E"/>
    <w:rsid w:val="00136B27"/>
    <w:rsid w:val="00137D90"/>
    <w:rsid w:val="00141FB6"/>
    <w:rsid w:val="00142F8E"/>
    <w:rsid w:val="00142FEB"/>
    <w:rsid w:val="00143C8B"/>
    <w:rsid w:val="00147530"/>
    <w:rsid w:val="0015269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57B6"/>
    <w:rsid w:val="0017725B"/>
    <w:rsid w:val="0017733E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474F"/>
    <w:rsid w:val="001A47F7"/>
    <w:rsid w:val="001B053A"/>
    <w:rsid w:val="001B26D8"/>
    <w:rsid w:val="001B3BFA"/>
    <w:rsid w:val="001B75B8"/>
    <w:rsid w:val="001C1094"/>
    <w:rsid w:val="001C1230"/>
    <w:rsid w:val="001C60B5"/>
    <w:rsid w:val="001C61B0"/>
    <w:rsid w:val="001C7957"/>
    <w:rsid w:val="001C7DB8"/>
    <w:rsid w:val="001C7EA8"/>
    <w:rsid w:val="001D0567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17E1"/>
    <w:rsid w:val="001F3CB8"/>
    <w:rsid w:val="001F6B91"/>
    <w:rsid w:val="001F703C"/>
    <w:rsid w:val="00200B9E"/>
    <w:rsid w:val="00200BF5"/>
    <w:rsid w:val="002010D1"/>
    <w:rsid w:val="00201338"/>
    <w:rsid w:val="00203A65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7E38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87C6E"/>
    <w:rsid w:val="00291518"/>
    <w:rsid w:val="00295EF3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079"/>
    <w:rsid w:val="002B391B"/>
    <w:rsid w:val="002B5B42"/>
    <w:rsid w:val="002B7BA7"/>
    <w:rsid w:val="002C1C17"/>
    <w:rsid w:val="002C2EE2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9D5"/>
    <w:rsid w:val="00303B0C"/>
    <w:rsid w:val="0030459C"/>
    <w:rsid w:val="00313DFE"/>
    <w:rsid w:val="003143B2"/>
    <w:rsid w:val="00314821"/>
    <w:rsid w:val="0031483F"/>
    <w:rsid w:val="00316025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95"/>
    <w:rsid w:val="003A10BC"/>
    <w:rsid w:val="003A1A0A"/>
    <w:rsid w:val="003B1501"/>
    <w:rsid w:val="003B185E"/>
    <w:rsid w:val="003B198A"/>
    <w:rsid w:val="003B1CA3"/>
    <w:rsid w:val="003B1ED9"/>
    <w:rsid w:val="003B20C2"/>
    <w:rsid w:val="003B2891"/>
    <w:rsid w:val="003B3DF3"/>
    <w:rsid w:val="003B48E2"/>
    <w:rsid w:val="003B4FA1"/>
    <w:rsid w:val="003B5A86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61C2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49CE"/>
    <w:rsid w:val="004350F3"/>
    <w:rsid w:val="00436980"/>
    <w:rsid w:val="00441016"/>
    <w:rsid w:val="00441F2F"/>
    <w:rsid w:val="0044228B"/>
    <w:rsid w:val="00444AE8"/>
    <w:rsid w:val="0044642C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38F9"/>
    <w:rsid w:val="0046542C"/>
    <w:rsid w:val="00474927"/>
    <w:rsid w:val="00475913"/>
    <w:rsid w:val="00477D20"/>
    <w:rsid w:val="00480080"/>
    <w:rsid w:val="004824A7"/>
    <w:rsid w:val="00483AF0"/>
    <w:rsid w:val="00484167"/>
    <w:rsid w:val="00492211"/>
    <w:rsid w:val="00492325"/>
    <w:rsid w:val="00492A6D"/>
    <w:rsid w:val="00494303"/>
    <w:rsid w:val="00494FAB"/>
    <w:rsid w:val="0049682B"/>
    <w:rsid w:val="004A03F7"/>
    <w:rsid w:val="004A081C"/>
    <w:rsid w:val="004A123F"/>
    <w:rsid w:val="004A2172"/>
    <w:rsid w:val="004B138F"/>
    <w:rsid w:val="004B412A"/>
    <w:rsid w:val="004B465F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6CFB"/>
    <w:rsid w:val="00500121"/>
    <w:rsid w:val="005017AC"/>
    <w:rsid w:val="00501E8A"/>
    <w:rsid w:val="00505121"/>
    <w:rsid w:val="00505C04"/>
    <w:rsid w:val="00505F1B"/>
    <w:rsid w:val="005073E8"/>
    <w:rsid w:val="005079FB"/>
    <w:rsid w:val="00510503"/>
    <w:rsid w:val="0051324D"/>
    <w:rsid w:val="00513AFF"/>
    <w:rsid w:val="00515466"/>
    <w:rsid w:val="005154F7"/>
    <w:rsid w:val="005159DE"/>
    <w:rsid w:val="005251CC"/>
    <w:rsid w:val="005257E5"/>
    <w:rsid w:val="005269CE"/>
    <w:rsid w:val="005279E8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2F0B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0215"/>
    <w:rsid w:val="005E1044"/>
    <w:rsid w:val="005E1999"/>
    <w:rsid w:val="005E232C"/>
    <w:rsid w:val="005E2B83"/>
    <w:rsid w:val="005E4AEB"/>
    <w:rsid w:val="005E738F"/>
    <w:rsid w:val="005E788B"/>
    <w:rsid w:val="005E7AE4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1F8A"/>
    <w:rsid w:val="006249CB"/>
    <w:rsid w:val="006272DD"/>
    <w:rsid w:val="00630963"/>
    <w:rsid w:val="00631897"/>
    <w:rsid w:val="00631D53"/>
    <w:rsid w:val="00632928"/>
    <w:rsid w:val="006330DA"/>
    <w:rsid w:val="00633262"/>
    <w:rsid w:val="00633460"/>
    <w:rsid w:val="006402E7"/>
    <w:rsid w:val="00640BAC"/>
    <w:rsid w:val="00640CB6"/>
    <w:rsid w:val="00641B42"/>
    <w:rsid w:val="00645750"/>
    <w:rsid w:val="00650692"/>
    <w:rsid w:val="006508D3"/>
    <w:rsid w:val="00650AFA"/>
    <w:rsid w:val="00654B76"/>
    <w:rsid w:val="00657A5E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A01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538D"/>
    <w:rsid w:val="007509BE"/>
    <w:rsid w:val="0075287B"/>
    <w:rsid w:val="00755C7B"/>
    <w:rsid w:val="0076274A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5BE4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664C"/>
    <w:rsid w:val="007B7B85"/>
    <w:rsid w:val="007C233D"/>
    <w:rsid w:val="007C462E"/>
    <w:rsid w:val="007C496B"/>
    <w:rsid w:val="007C4E55"/>
    <w:rsid w:val="007C6803"/>
    <w:rsid w:val="007D2892"/>
    <w:rsid w:val="007D2DCC"/>
    <w:rsid w:val="007D47E1"/>
    <w:rsid w:val="007D7FCB"/>
    <w:rsid w:val="007E33B6"/>
    <w:rsid w:val="007E59E8"/>
    <w:rsid w:val="007F0CF7"/>
    <w:rsid w:val="007F3861"/>
    <w:rsid w:val="007F4162"/>
    <w:rsid w:val="007F5441"/>
    <w:rsid w:val="007F7668"/>
    <w:rsid w:val="00800C63"/>
    <w:rsid w:val="00802243"/>
    <w:rsid w:val="008023D4"/>
    <w:rsid w:val="00805402"/>
    <w:rsid w:val="0080661F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0FD"/>
    <w:rsid w:val="00835628"/>
    <w:rsid w:val="00835E90"/>
    <w:rsid w:val="0084176D"/>
    <w:rsid w:val="008423E4"/>
    <w:rsid w:val="00842900"/>
    <w:rsid w:val="0084447F"/>
    <w:rsid w:val="008460A5"/>
    <w:rsid w:val="00850CF0"/>
    <w:rsid w:val="0085180B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6D52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20F8"/>
    <w:rsid w:val="00946044"/>
    <w:rsid w:val="009465AB"/>
    <w:rsid w:val="00946DEE"/>
    <w:rsid w:val="009520E8"/>
    <w:rsid w:val="00953499"/>
    <w:rsid w:val="00954A16"/>
    <w:rsid w:val="0095696D"/>
    <w:rsid w:val="00956E64"/>
    <w:rsid w:val="009577C8"/>
    <w:rsid w:val="009609D4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681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443D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8C2"/>
    <w:rsid w:val="009E7AEB"/>
    <w:rsid w:val="009F1B37"/>
    <w:rsid w:val="009F311D"/>
    <w:rsid w:val="009F4EB0"/>
    <w:rsid w:val="009F4F2B"/>
    <w:rsid w:val="009F513E"/>
    <w:rsid w:val="009F5802"/>
    <w:rsid w:val="009F64AE"/>
    <w:rsid w:val="009F6C7A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1C7B"/>
    <w:rsid w:val="00A220FF"/>
    <w:rsid w:val="00A227E0"/>
    <w:rsid w:val="00A232E4"/>
    <w:rsid w:val="00A24AAD"/>
    <w:rsid w:val="00A25A9F"/>
    <w:rsid w:val="00A26A8A"/>
    <w:rsid w:val="00A27255"/>
    <w:rsid w:val="00A3007F"/>
    <w:rsid w:val="00A32304"/>
    <w:rsid w:val="00A32CE9"/>
    <w:rsid w:val="00A3420E"/>
    <w:rsid w:val="00A35D66"/>
    <w:rsid w:val="00A41085"/>
    <w:rsid w:val="00A425FA"/>
    <w:rsid w:val="00A43960"/>
    <w:rsid w:val="00A46902"/>
    <w:rsid w:val="00A47CFB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5B79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1998"/>
    <w:rsid w:val="00AF3A8D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3EDB"/>
    <w:rsid w:val="00B25612"/>
    <w:rsid w:val="00B26437"/>
    <w:rsid w:val="00B2678E"/>
    <w:rsid w:val="00B30647"/>
    <w:rsid w:val="00B31F0E"/>
    <w:rsid w:val="00B34F25"/>
    <w:rsid w:val="00B416B5"/>
    <w:rsid w:val="00B43672"/>
    <w:rsid w:val="00B473D8"/>
    <w:rsid w:val="00B5165A"/>
    <w:rsid w:val="00B524C1"/>
    <w:rsid w:val="00B52C8D"/>
    <w:rsid w:val="00B5554F"/>
    <w:rsid w:val="00B564BF"/>
    <w:rsid w:val="00B6104E"/>
    <w:rsid w:val="00B610C7"/>
    <w:rsid w:val="00B61614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2507"/>
    <w:rsid w:val="00B90097"/>
    <w:rsid w:val="00B90999"/>
    <w:rsid w:val="00B91AD7"/>
    <w:rsid w:val="00B92D23"/>
    <w:rsid w:val="00B95BC8"/>
    <w:rsid w:val="00B96E87"/>
    <w:rsid w:val="00BA146A"/>
    <w:rsid w:val="00BA32EE"/>
    <w:rsid w:val="00BA7315"/>
    <w:rsid w:val="00BB5B36"/>
    <w:rsid w:val="00BB6344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89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035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0F4A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4654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1B0A"/>
    <w:rsid w:val="00CB3627"/>
    <w:rsid w:val="00CB4B4B"/>
    <w:rsid w:val="00CB4B73"/>
    <w:rsid w:val="00CB74CB"/>
    <w:rsid w:val="00CB7E04"/>
    <w:rsid w:val="00CC24B7"/>
    <w:rsid w:val="00CC7131"/>
    <w:rsid w:val="00CC7B9E"/>
    <w:rsid w:val="00CD0298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2846"/>
    <w:rsid w:val="00D2301B"/>
    <w:rsid w:val="00D239EE"/>
    <w:rsid w:val="00D27ED8"/>
    <w:rsid w:val="00D30534"/>
    <w:rsid w:val="00D33C07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67B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85A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43F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4A4D"/>
    <w:rsid w:val="00F05397"/>
    <w:rsid w:val="00F0638C"/>
    <w:rsid w:val="00F11E04"/>
    <w:rsid w:val="00F12B24"/>
    <w:rsid w:val="00F12BC7"/>
    <w:rsid w:val="00F15223"/>
    <w:rsid w:val="00F164B4"/>
    <w:rsid w:val="00F176E4"/>
    <w:rsid w:val="00F17FA7"/>
    <w:rsid w:val="00F20E5F"/>
    <w:rsid w:val="00F25CC2"/>
    <w:rsid w:val="00F27573"/>
    <w:rsid w:val="00F3018A"/>
    <w:rsid w:val="00F31876"/>
    <w:rsid w:val="00F31C67"/>
    <w:rsid w:val="00F36FE0"/>
    <w:rsid w:val="00F37EA8"/>
    <w:rsid w:val="00F40B14"/>
    <w:rsid w:val="00F410D1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3AB0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0F"/>
    <w:rsid w:val="00F9735A"/>
    <w:rsid w:val="00FA2A00"/>
    <w:rsid w:val="00FA32FC"/>
    <w:rsid w:val="00FA59FD"/>
    <w:rsid w:val="00FA5D8C"/>
    <w:rsid w:val="00FA6403"/>
    <w:rsid w:val="00FB16CD"/>
    <w:rsid w:val="00FB73AE"/>
    <w:rsid w:val="00FC5388"/>
    <w:rsid w:val="00FC726C"/>
    <w:rsid w:val="00FD0DCB"/>
    <w:rsid w:val="00FD1B4B"/>
    <w:rsid w:val="00FD1B94"/>
    <w:rsid w:val="00FE19C5"/>
    <w:rsid w:val="00FE4286"/>
    <w:rsid w:val="00FE48C3"/>
    <w:rsid w:val="00FE5909"/>
    <w:rsid w:val="00FE6499"/>
    <w:rsid w:val="00FE652E"/>
    <w:rsid w:val="00FE71FE"/>
    <w:rsid w:val="00FF059B"/>
    <w:rsid w:val="00FF0A28"/>
    <w:rsid w:val="00FF0B8B"/>
    <w:rsid w:val="00FF0E93"/>
    <w:rsid w:val="00FF13C3"/>
    <w:rsid w:val="00FF34C8"/>
    <w:rsid w:val="00FF4341"/>
    <w:rsid w:val="00FF517B"/>
    <w:rsid w:val="00FF6F72"/>
    <w:rsid w:val="00FF6FBE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9E01FB-F218-4EF8-A1B8-264833EC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318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18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18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1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183E"/>
    <w:rPr>
      <w:b/>
      <w:bCs/>
    </w:rPr>
  </w:style>
  <w:style w:type="paragraph" w:styleId="Revision">
    <w:name w:val="Revision"/>
    <w:hidden/>
    <w:uiPriority w:val="99"/>
    <w:semiHidden/>
    <w:rsid w:val="00F17F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A2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1096</Words>
  <Characters>6078</Characters>
  <Application>Microsoft Office Word</Application>
  <DocSecurity>4</DocSecurity>
  <Lines>134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HB00390 (Committee Report (Substituted))</vt:lpstr>
    </vt:vector>
  </TitlesOfParts>
  <Company>State of Texas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16335</dc:subject>
  <dc:creator>State of Texas</dc:creator>
  <dc:description>HB 390 by Thompson, Senfronia-(H)Business &amp; Industry (Substitute Document Number: 87R 13376)</dc:description>
  <cp:lastModifiedBy>Thomas Weis</cp:lastModifiedBy>
  <cp:revision>2</cp:revision>
  <cp:lastPrinted>2003-11-26T17:21:00Z</cp:lastPrinted>
  <dcterms:created xsi:type="dcterms:W3CDTF">2021-03-19T19:31:00Z</dcterms:created>
  <dcterms:modified xsi:type="dcterms:W3CDTF">2021-03-19T19:31:00Z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21.77.1122</vt:lpwstr>
  </property>
</Properties>
</file>