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AA3F1F" w14:paraId="5AE62969" w14:textId="77777777" w:rsidTr="00345119">
        <w:tc>
          <w:tcPr>
            <w:tcW w:w="9576" w:type="dxa"/>
            <w:noWrap/>
          </w:tcPr>
          <w:p w14:paraId="0390890B" w14:textId="77777777" w:rsidR="008423E4" w:rsidRPr="0022177D" w:rsidRDefault="0031560F" w:rsidP="00227F84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4ACF86BF" w14:textId="77777777" w:rsidR="008423E4" w:rsidRPr="0022177D" w:rsidRDefault="008423E4" w:rsidP="00227F84">
      <w:pPr>
        <w:jc w:val="center"/>
      </w:pPr>
    </w:p>
    <w:p w14:paraId="167132EB" w14:textId="77777777" w:rsidR="008423E4" w:rsidRPr="00B31F0E" w:rsidRDefault="008423E4" w:rsidP="00227F84"/>
    <w:p w14:paraId="0FBB1992" w14:textId="77777777" w:rsidR="008423E4" w:rsidRPr="00742794" w:rsidRDefault="008423E4" w:rsidP="00227F8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AA3F1F" w14:paraId="3C572F5D" w14:textId="77777777" w:rsidTr="00345119">
        <w:tc>
          <w:tcPr>
            <w:tcW w:w="9576" w:type="dxa"/>
          </w:tcPr>
          <w:p w14:paraId="17D0B25C" w14:textId="160A3069" w:rsidR="008423E4" w:rsidRPr="00861995" w:rsidRDefault="0031560F" w:rsidP="00227F84">
            <w:pPr>
              <w:jc w:val="right"/>
            </w:pPr>
            <w:r>
              <w:t>C.S.H.B. 464</w:t>
            </w:r>
          </w:p>
        </w:tc>
      </w:tr>
      <w:tr w:rsidR="00AA3F1F" w14:paraId="3EA8A31B" w14:textId="77777777" w:rsidTr="00345119">
        <w:tc>
          <w:tcPr>
            <w:tcW w:w="9576" w:type="dxa"/>
          </w:tcPr>
          <w:p w14:paraId="77C0E89C" w14:textId="432DDBD6" w:rsidR="008423E4" w:rsidRPr="00861995" w:rsidRDefault="0031560F" w:rsidP="00227F84">
            <w:pPr>
              <w:jc w:val="right"/>
            </w:pPr>
            <w:r>
              <w:t xml:space="preserve">By: </w:t>
            </w:r>
            <w:r w:rsidR="00352EFF">
              <w:t>Cortez</w:t>
            </w:r>
          </w:p>
        </w:tc>
      </w:tr>
      <w:tr w:rsidR="00AA3F1F" w14:paraId="40E66AE9" w14:textId="77777777" w:rsidTr="00345119">
        <w:tc>
          <w:tcPr>
            <w:tcW w:w="9576" w:type="dxa"/>
          </w:tcPr>
          <w:p w14:paraId="66861527" w14:textId="274EFBB2" w:rsidR="008423E4" w:rsidRPr="00861995" w:rsidRDefault="0031560F" w:rsidP="00227F84">
            <w:pPr>
              <w:jc w:val="right"/>
            </w:pPr>
            <w:r>
              <w:t>Public Health</w:t>
            </w:r>
          </w:p>
        </w:tc>
      </w:tr>
      <w:tr w:rsidR="00AA3F1F" w14:paraId="38302691" w14:textId="77777777" w:rsidTr="00345119">
        <w:tc>
          <w:tcPr>
            <w:tcW w:w="9576" w:type="dxa"/>
          </w:tcPr>
          <w:p w14:paraId="62A03C24" w14:textId="1A0E9D10" w:rsidR="008423E4" w:rsidRDefault="0031560F" w:rsidP="00227F84">
            <w:pPr>
              <w:jc w:val="right"/>
            </w:pPr>
            <w:r>
              <w:t>Committee Report (Substituted)</w:t>
            </w:r>
          </w:p>
        </w:tc>
      </w:tr>
    </w:tbl>
    <w:p w14:paraId="2A445B53" w14:textId="77777777" w:rsidR="008423E4" w:rsidRDefault="008423E4" w:rsidP="00227F84">
      <w:pPr>
        <w:tabs>
          <w:tab w:val="right" w:pos="9360"/>
        </w:tabs>
      </w:pPr>
    </w:p>
    <w:p w14:paraId="1B70400B" w14:textId="77777777" w:rsidR="008423E4" w:rsidRDefault="008423E4" w:rsidP="00227F84"/>
    <w:p w14:paraId="3C55A503" w14:textId="77777777" w:rsidR="008423E4" w:rsidRDefault="008423E4" w:rsidP="00227F8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AA3F1F" w14:paraId="2C12259E" w14:textId="77777777" w:rsidTr="00345119">
        <w:tc>
          <w:tcPr>
            <w:tcW w:w="9576" w:type="dxa"/>
          </w:tcPr>
          <w:p w14:paraId="3CA834B7" w14:textId="77777777" w:rsidR="008423E4" w:rsidRPr="00A8133F" w:rsidRDefault="0031560F" w:rsidP="00227F84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1BFB150B" w14:textId="77777777" w:rsidR="008423E4" w:rsidRDefault="008423E4" w:rsidP="00227F84"/>
          <w:p w14:paraId="65F96B52" w14:textId="38C0110E" w:rsidR="00B12938" w:rsidRDefault="0031560F" w:rsidP="00227F8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B12938">
              <w:t>Studies have shown that anaphylaxis</w:t>
            </w:r>
            <w:r w:rsidR="00526938">
              <w:t xml:space="preserve">, a </w:t>
            </w:r>
            <w:r w:rsidRPr="00B12938">
              <w:t>severe</w:t>
            </w:r>
            <w:r w:rsidR="00526938">
              <w:t xml:space="preserve"> and</w:t>
            </w:r>
            <w:r w:rsidRPr="00B12938">
              <w:t xml:space="preserve"> potentially life-threatening allergic </w:t>
            </w:r>
            <w:r w:rsidR="00526938">
              <w:t>reaction,</w:t>
            </w:r>
            <w:r w:rsidRPr="00B12938">
              <w:t xml:space="preserve"> among children and adolescents</w:t>
            </w:r>
            <w:r w:rsidR="00526938">
              <w:t xml:space="preserve"> is most commonly the result of food allergies</w:t>
            </w:r>
            <w:r w:rsidRPr="00B12938">
              <w:t xml:space="preserve">. Over the last decade, the prevalence of food allergies has increased, and </w:t>
            </w:r>
            <w:r w:rsidR="00526938">
              <w:t xml:space="preserve">there are </w:t>
            </w:r>
            <w:r w:rsidRPr="00B12938">
              <w:t>concern</w:t>
            </w:r>
            <w:r w:rsidR="00526938">
              <w:t>s</w:t>
            </w:r>
            <w:r w:rsidRPr="00B12938">
              <w:t xml:space="preserve"> that more than 15</w:t>
            </w:r>
            <w:r w:rsidR="007E420D">
              <w:t> </w:t>
            </w:r>
            <w:r w:rsidRPr="00B12938">
              <w:t>million people</w:t>
            </w:r>
            <w:r w:rsidR="00934452">
              <w:t xml:space="preserve"> in the country</w:t>
            </w:r>
            <w:r w:rsidRPr="00B12938">
              <w:t xml:space="preserve"> are affected by a food allergy.</w:t>
            </w:r>
            <w:r w:rsidR="00934452">
              <w:t xml:space="preserve"> </w:t>
            </w:r>
            <w:r w:rsidR="00934452" w:rsidRPr="00934452">
              <w:t>It has been suggested that food allergen awareness for food service establishment staff should be improved so those on the front</w:t>
            </w:r>
            <w:r w:rsidR="00513ECD">
              <w:t> </w:t>
            </w:r>
            <w:r w:rsidR="00934452" w:rsidRPr="00934452">
              <w:t>lines of food service can help protect the public from potential hospitalization or death resulting from food allergies.</w:t>
            </w:r>
            <w:r w:rsidR="00934452">
              <w:t xml:space="preserve"> </w:t>
            </w:r>
            <w:r w:rsidRPr="00B12938">
              <w:t>C</w:t>
            </w:r>
            <w:r w:rsidR="00934452">
              <w:t>.</w:t>
            </w:r>
            <w:r w:rsidRPr="00B12938">
              <w:t>S</w:t>
            </w:r>
            <w:r w:rsidR="00934452">
              <w:t>.</w:t>
            </w:r>
            <w:r w:rsidRPr="00B12938">
              <w:t>H</w:t>
            </w:r>
            <w:r w:rsidR="00934452">
              <w:t>.</w:t>
            </w:r>
            <w:r w:rsidRPr="00B12938">
              <w:t>B</w:t>
            </w:r>
            <w:r w:rsidR="00934452">
              <w:t>.</w:t>
            </w:r>
            <w:r w:rsidRPr="00B12938">
              <w:t xml:space="preserve"> 464</w:t>
            </w:r>
            <w:r w:rsidR="00934452">
              <w:t xml:space="preserve"> </w:t>
            </w:r>
            <w:r w:rsidR="00934452" w:rsidRPr="00934452">
              <w:t>seeks to address this suggestion by requiring food service establishments to display a food allergen awareness poster in an area of the establishment accessible primarily to employees of the establishment</w:t>
            </w:r>
            <w:r w:rsidR="00934452">
              <w:t>.</w:t>
            </w:r>
          </w:p>
          <w:p w14:paraId="1357D850" w14:textId="77777777" w:rsidR="008423E4" w:rsidRPr="00E26B13" w:rsidRDefault="008423E4" w:rsidP="00227F84">
            <w:pPr>
              <w:rPr>
                <w:b/>
              </w:rPr>
            </w:pPr>
          </w:p>
        </w:tc>
      </w:tr>
      <w:tr w:rsidR="00AA3F1F" w14:paraId="102B8349" w14:textId="77777777" w:rsidTr="00345119">
        <w:tc>
          <w:tcPr>
            <w:tcW w:w="9576" w:type="dxa"/>
          </w:tcPr>
          <w:p w14:paraId="4F39ECD9" w14:textId="77777777" w:rsidR="0017725B" w:rsidRDefault="0031560F" w:rsidP="00227F8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7C40217C" w14:textId="77777777" w:rsidR="0017725B" w:rsidRDefault="0017725B" w:rsidP="00227F84">
            <w:pPr>
              <w:rPr>
                <w:b/>
                <w:u w:val="single"/>
              </w:rPr>
            </w:pPr>
          </w:p>
          <w:p w14:paraId="43519E63" w14:textId="77777777" w:rsidR="00C12F18" w:rsidRPr="00C12F18" w:rsidRDefault="0031560F" w:rsidP="00227F84">
            <w:pPr>
              <w:jc w:val="both"/>
            </w:pPr>
            <w:r>
              <w:t xml:space="preserve">It is the committee's opinion that this bill does </w:t>
            </w:r>
            <w:r>
              <w:t>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14:paraId="2D361E0C" w14:textId="77777777" w:rsidR="0017725B" w:rsidRPr="0017725B" w:rsidRDefault="0017725B" w:rsidP="00227F84">
            <w:pPr>
              <w:rPr>
                <w:b/>
                <w:u w:val="single"/>
              </w:rPr>
            </w:pPr>
          </w:p>
        </w:tc>
      </w:tr>
      <w:tr w:rsidR="00AA3F1F" w14:paraId="434FEE22" w14:textId="77777777" w:rsidTr="00345119">
        <w:tc>
          <w:tcPr>
            <w:tcW w:w="9576" w:type="dxa"/>
          </w:tcPr>
          <w:p w14:paraId="70584196" w14:textId="77777777" w:rsidR="008423E4" w:rsidRPr="00A8133F" w:rsidRDefault="0031560F" w:rsidP="00227F84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04D90EEF" w14:textId="77777777" w:rsidR="008423E4" w:rsidRDefault="008423E4" w:rsidP="00227F84"/>
          <w:p w14:paraId="161E889F" w14:textId="4DC9EB96" w:rsidR="00C12F18" w:rsidRDefault="0031560F" w:rsidP="00227F8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</w:t>
            </w:r>
            <w:r>
              <w:t xml:space="preserve"> committee's opinion that rulemaking authority is expressly granted to the </w:t>
            </w:r>
            <w:r w:rsidRPr="00C12F18">
              <w:t>executive commissioner of the Health and Human Services Commission</w:t>
            </w:r>
            <w:r>
              <w:t xml:space="preserve"> in SECTION </w:t>
            </w:r>
            <w:r w:rsidR="006D58D6">
              <w:t xml:space="preserve">2 </w:t>
            </w:r>
            <w:r>
              <w:t>of this bill.</w:t>
            </w:r>
          </w:p>
          <w:p w14:paraId="2C6BEC2B" w14:textId="77777777" w:rsidR="008423E4" w:rsidRPr="00E21FDC" w:rsidRDefault="008423E4" w:rsidP="00227F84">
            <w:pPr>
              <w:rPr>
                <w:b/>
              </w:rPr>
            </w:pPr>
          </w:p>
        </w:tc>
      </w:tr>
      <w:tr w:rsidR="00AA3F1F" w14:paraId="536398C3" w14:textId="77777777" w:rsidTr="00345119">
        <w:tc>
          <w:tcPr>
            <w:tcW w:w="9576" w:type="dxa"/>
          </w:tcPr>
          <w:p w14:paraId="6C6F7740" w14:textId="77777777" w:rsidR="008423E4" w:rsidRPr="00A8133F" w:rsidRDefault="0031560F" w:rsidP="00227F84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0B3EB77B" w14:textId="77777777" w:rsidR="008423E4" w:rsidRDefault="008423E4" w:rsidP="00227F84"/>
          <w:p w14:paraId="64320639" w14:textId="67365A93" w:rsidR="001A30A3" w:rsidRDefault="0031560F" w:rsidP="00227F8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 w:rsidR="00A33F28">
              <w:t>H.B. 464</w:t>
            </w:r>
            <w:r w:rsidR="00C12F18" w:rsidRPr="00C12F18">
              <w:t xml:space="preserve"> amends the Health and Safety Code to require a food service establishment to display a poster relating to food allergen awareness in an area of the establishment accessible primarily to</w:t>
            </w:r>
            <w:r>
              <w:t xml:space="preserve"> food service </w:t>
            </w:r>
            <w:r w:rsidR="00C12F18" w:rsidRPr="00C12F18">
              <w:t xml:space="preserve">employees of the establishment. The bill requires the Department of State Health Services (DSHS) to </w:t>
            </w:r>
            <w:r>
              <w:t>do the f</w:t>
            </w:r>
            <w:r>
              <w:t>ollowing:</w:t>
            </w:r>
          </w:p>
          <w:p w14:paraId="7C536598" w14:textId="146F2CAA" w:rsidR="001A30A3" w:rsidRDefault="0031560F" w:rsidP="00227F84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 w:rsidRPr="00C12F18">
              <w:t>determine the form and content of the poster</w:t>
            </w:r>
            <w:r w:rsidR="00C279D6">
              <w:t xml:space="preserve"> and </w:t>
            </w:r>
            <w:r w:rsidRPr="00C12F18">
              <w:t>post a sample poster on the DSHS website</w:t>
            </w:r>
            <w:r w:rsidR="00C279D6">
              <w:t xml:space="preserve"> not later than December 1, 2021</w:t>
            </w:r>
            <w:r>
              <w:t>; and</w:t>
            </w:r>
          </w:p>
          <w:p w14:paraId="5D9062CF" w14:textId="4C32F5FF" w:rsidR="001A30A3" w:rsidRDefault="0031560F" w:rsidP="00227F84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 w:rsidRPr="001A30A3">
              <w:t xml:space="preserve">update the poster as necessary to ensure that </w:t>
            </w:r>
            <w:r w:rsidR="007C210A">
              <w:t>it</w:t>
            </w:r>
            <w:r w:rsidRPr="001A30A3">
              <w:t xml:space="preserve"> contains current information about food allergens</w:t>
            </w:r>
            <w:r w:rsidR="00E34139">
              <w:t xml:space="preserve"> </w:t>
            </w:r>
            <w:r w:rsidR="00E34139" w:rsidRPr="00E34139">
              <w:t xml:space="preserve">and remains consistent with standards promulgated by </w:t>
            </w:r>
            <w:r w:rsidR="00D37197">
              <w:t xml:space="preserve">the </w:t>
            </w:r>
            <w:r w:rsidR="00E34139" w:rsidRPr="00E34139">
              <w:t>FDA</w:t>
            </w:r>
            <w:r w:rsidR="00C12F18" w:rsidRPr="00C12F18">
              <w:t xml:space="preserve">. </w:t>
            </w:r>
          </w:p>
          <w:p w14:paraId="01626C6D" w14:textId="4075541F" w:rsidR="00B60E5A" w:rsidRDefault="0031560F" w:rsidP="00227F8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C12F18">
              <w:t>The bill authorizes a food service establishment to display the information from the sample poster in lieu of the poster, provided the information is presented and posted in a manner that is easily readable by the</w:t>
            </w:r>
            <w:r w:rsidRPr="00C12F18">
              <w:t xml:space="preserve"> establishment's </w:t>
            </w:r>
            <w:r w:rsidR="001A30A3">
              <w:t xml:space="preserve">food service </w:t>
            </w:r>
            <w:r w:rsidRPr="00C12F18">
              <w:t xml:space="preserve">employees in the selected employee area. </w:t>
            </w:r>
            <w:r w:rsidR="0078155B">
              <w:t>The bill</w:t>
            </w:r>
            <w:r w:rsidRPr="00C12F18">
              <w:t xml:space="preserve"> </w:t>
            </w:r>
            <w:r w:rsidR="0078155B">
              <w:t xml:space="preserve">sets out </w:t>
            </w:r>
            <w:r w:rsidR="00C94BCB">
              <w:t>requirements for the content of</w:t>
            </w:r>
            <w:r w:rsidRPr="00C12F18">
              <w:t xml:space="preserve"> the poster or posted information</w:t>
            </w:r>
            <w:r w:rsidR="0078155B">
              <w:t>.</w:t>
            </w:r>
            <w:r w:rsidRPr="00C12F18">
              <w:t xml:space="preserve"> </w:t>
            </w:r>
          </w:p>
          <w:p w14:paraId="4B18AB0A" w14:textId="77777777" w:rsidR="00923E3C" w:rsidRDefault="00923E3C" w:rsidP="00227F8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0011AC73" w14:textId="222B264A" w:rsidR="009C36CD" w:rsidRPr="009C36CD" w:rsidRDefault="0031560F" w:rsidP="00227F8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 w:rsidR="00923E3C">
              <w:t>H.B. 464</w:t>
            </w:r>
            <w:r w:rsidR="00C12F18" w:rsidRPr="00C12F18">
              <w:t xml:space="preserve"> requires the executive commissioner of the Health and Human Services Commission, not later than December 1, </w:t>
            </w:r>
            <w:r w:rsidR="00A33F28">
              <w:t>2021</w:t>
            </w:r>
            <w:r w:rsidR="00C12F18" w:rsidRPr="00C12F18">
              <w:t>, to adopt rules necessary to implement the bill's provisions</w:t>
            </w:r>
            <w:r w:rsidR="004150FB">
              <w:t>. A</w:t>
            </w:r>
            <w:r w:rsidR="00C279D6">
              <w:t xml:space="preserve"> food service establishment is not required to comply with those provisions before January 1, 2022</w:t>
            </w:r>
            <w:r w:rsidR="00C12F18" w:rsidRPr="00C12F18">
              <w:t>. The bill's provisions expressly do not create a private cause of action or change any common law or statutory duty.</w:t>
            </w:r>
          </w:p>
          <w:p w14:paraId="3BF77D90" w14:textId="77777777" w:rsidR="008423E4" w:rsidRDefault="008423E4" w:rsidP="00227F84">
            <w:pPr>
              <w:rPr>
                <w:b/>
              </w:rPr>
            </w:pPr>
          </w:p>
          <w:p w14:paraId="4111652F" w14:textId="2745CDDE" w:rsidR="00227F84" w:rsidRPr="00835628" w:rsidRDefault="00227F84" w:rsidP="00227F84">
            <w:pPr>
              <w:rPr>
                <w:b/>
              </w:rPr>
            </w:pPr>
          </w:p>
        </w:tc>
      </w:tr>
      <w:tr w:rsidR="00AA3F1F" w14:paraId="7738A23D" w14:textId="77777777" w:rsidTr="00345119">
        <w:tc>
          <w:tcPr>
            <w:tcW w:w="9576" w:type="dxa"/>
          </w:tcPr>
          <w:p w14:paraId="2EE84C67" w14:textId="77777777" w:rsidR="008423E4" w:rsidRPr="00A8133F" w:rsidRDefault="0031560F" w:rsidP="00227F84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20C7E3E9" w14:textId="77777777" w:rsidR="008423E4" w:rsidRDefault="008423E4" w:rsidP="00227F84"/>
          <w:p w14:paraId="2F7F28FA" w14:textId="77777777" w:rsidR="008423E4" w:rsidRPr="003624F2" w:rsidRDefault="0031560F" w:rsidP="00227F8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3C53D5AA" w14:textId="77777777" w:rsidR="008423E4" w:rsidRPr="00233FDB" w:rsidRDefault="008423E4" w:rsidP="00227F84">
            <w:pPr>
              <w:rPr>
                <w:b/>
              </w:rPr>
            </w:pPr>
          </w:p>
        </w:tc>
      </w:tr>
      <w:tr w:rsidR="00AA3F1F" w14:paraId="4C0492E0" w14:textId="77777777" w:rsidTr="00345119">
        <w:tc>
          <w:tcPr>
            <w:tcW w:w="9576" w:type="dxa"/>
          </w:tcPr>
          <w:p w14:paraId="5F18234C" w14:textId="77777777" w:rsidR="00352EFF" w:rsidRDefault="0031560F" w:rsidP="00227F84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14:paraId="28923DDD" w14:textId="77777777" w:rsidR="00E34139" w:rsidRDefault="00E34139" w:rsidP="00227F84">
            <w:pPr>
              <w:jc w:val="both"/>
            </w:pPr>
          </w:p>
          <w:p w14:paraId="1DB8509E" w14:textId="7F86D38C" w:rsidR="00E34139" w:rsidRDefault="0031560F" w:rsidP="00227F84">
            <w:pPr>
              <w:jc w:val="both"/>
            </w:pPr>
            <w:r>
              <w:t xml:space="preserve">While C.S.H.B. 464 may differ from the </w:t>
            </w:r>
            <w:r>
              <w:t>original in minor or nonsubstantive ways, the following summarizes the substantial differences between the introduced and committee substitute versions of the bill.</w:t>
            </w:r>
          </w:p>
          <w:p w14:paraId="726E98FE" w14:textId="2F3E7D10" w:rsidR="00E34139" w:rsidRDefault="00E34139" w:rsidP="00227F84">
            <w:pPr>
              <w:jc w:val="both"/>
            </w:pPr>
          </w:p>
          <w:p w14:paraId="0B509ACB" w14:textId="0086CFEB" w:rsidR="00E34139" w:rsidRDefault="0031560F" w:rsidP="00227F84">
            <w:pPr>
              <w:jc w:val="both"/>
            </w:pPr>
            <w:r>
              <w:t xml:space="preserve">The substitute includes a specification that </w:t>
            </w:r>
            <w:r w:rsidRPr="00E34139">
              <w:t>the</w:t>
            </w:r>
            <w:r w:rsidR="00292F02">
              <w:t xml:space="preserve"> current information about food allergens contained on the</w:t>
            </w:r>
            <w:r w:rsidRPr="00E34139">
              <w:t xml:space="preserve"> poster</w:t>
            </w:r>
            <w:r w:rsidR="00292F02">
              <w:t xml:space="preserve"> </w:t>
            </w:r>
            <w:r w:rsidRPr="00E34139">
              <w:t>remain</w:t>
            </w:r>
            <w:r w:rsidR="000924F2">
              <w:t>s</w:t>
            </w:r>
            <w:r w:rsidRPr="00E34139">
              <w:t xml:space="preserve"> consistent with standards promulgated by </w:t>
            </w:r>
            <w:r w:rsidR="00D37197">
              <w:t xml:space="preserve">the </w:t>
            </w:r>
            <w:r w:rsidRPr="00E34139">
              <w:t>FDA.</w:t>
            </w:r>
          </w:p>
          <w:p w14:paraId="3C66BA44" w14:textId="3F91952E" w:rsidR="00E34139" w:rsidRPr="00E34139" w:rsidRDefault="00E34139" w:rsidP="00227F84">
            <w:pPr>
              <w:jc w:val="both"/>
            </w:pPr>
          </w:p>
        </w:tc>
      </w:tr>
      <w:tr w:rsidR="00AA3F1F" w14:paraId="3839C6BB" w14:textId="77777777" w:rsidTr="00345119">
        <w:tc>
          <w:tcPr>
            <w:tcW w:w="9576" w:type="dxa"/>
          </w:tcPr>
          <w:p w14:paraId="6A396DE4" w14:textId="77777777" w:rsidR="00352EFF" w:rsidRPr="009C1E9A" w:rsidRDefault="00352EFF" w:rsidP="00227F84">
            <w:pPr>
              <w:rPr>
                <w:b/>
                <w:u w:val="single"/>
              </w:rPr>
            </w:pPr>
          </w:p>
        </w:tc>
      </w:tr>
      <w:tr w:rsidR="00AA3F1F" w14:paraId="1D53B2FE" w14:textId="77777777" w:rsidTr="00345119">
        <w:tc>
          <w:tcPr>
            <w:tcW w:w="9576" w:type="dxa"/>
          </w:tcPr>
          <w:p w14:paraId="3067E89E" w14:textId="77777777" w:rsidR="00352EFF" w:rsidRPr="00352EFF" w:rsidRDefault="00352EFF" w:rsidP="00227F84">
            <w:pPr>
              <w:jc w:val="both"/>
            </w:pPr>
          </w:p>
        </w:tc>
      </w:tr>
    </w:tbl>
    <w:p w14:paraId="52B4E2F0" w14:textId="77777777" w:rsidR="008423E4" w:rsidRPr="00BE0E75" w:rsidRDefault="008423E4" w:rsidP="00227F84">
      <w:pPr>
        <w:jc w:val="both"/>
        <w:rPr>
          <w:rFonts w:ascii="Arial" w:hAnsi="Arial"/>
          <w:sz w:val="16"/>
          <w:szCs w:val="16"/>
        </w:rPr>
      </w:pPr>
    </w:p>
    <w:p w14:paraId="0072F6DF" w14:textId="77777777" w:rsidR="004108C3" w:rsidRPr="008423E4" w:rsidRDefault="004108C3" w:rsidP="00227F8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CE1113" w14:textId="77777777" w:rsidR="00000000" w:rsidRDefault="0031560F">
      <w:r>
        <w:separator/>
      </w:r>
    </w:p>
  </w:endnote>
  <w:endnote w:type="continuationSeparator" w:id="0">
    <w:p w14:paraId="10D07AC5" w14:textId="77777777" w:rsidR="00000000" w:rsidRDefault="00315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D50A73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AA3F1F" w14:paraId="118CF222" w14:textId="77777777" w:rsidTr="009C1E9A">
      <w:trPr>
        <w:cantSplit/>
      </w:trPr>
      <w:tc>
        <w:tcPr>
          <w:tcW w:w="0" w:type="pct"/>
        </w:tcPr>
        <w:p w14:paraId="6BFFE64C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5332E752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62E11C6A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710BF05D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7211022A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A3F1F" w14:paraId="009B811D" w14:textId="77777777" w:rsidTr="009C1E9A">
      <w:trPr>
        <w:cantSplit/>
      </w:trPr>
      <w:tc>
        <w:tcPr>
          <w:tcW w:w="0" w:type="pct"/>
        </w:tcPr>
        <w:p w14:paraId="6731B2FA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78AC1C99" w14:textId="6C0F492D" w:rsidR="00EC379B" w:rsidRPr="009C1E9A" w:rsidRDefault="0031560F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18865</w:t>
          </w:r>
        </w:p>
      </w:tc>
      <w:tc>
        <w:tcPr>
          <w:tcW w:w="2453" w:type="pct"/>
        </w:tcPr>
        <w:p w14:paraId="7DD21C7A" w14:textId="3B5B247F" w:rsidR="00EC379B" w:rsidRDefault="0031560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632190">
            <w:t>21.99.307</w:t>
          </w:r>
          <w:r>
            <w:fldChar w:fldCharType="end"/>
          </w:r>
        </w:p>
      </w:tc>
    </w:tr>
    <w:tr w:rsidR="00AA3F1F" w14:paraId="41BF5172" w14:textId="77777777" w:rsidTr="009C1E9A">
      <w:trPr>
        <w:cantSplit/>
      </w:trPr>
      <w:tc>
        <w:tcPr>
          <w:tcW w:w="0" w:type="pct"/>
        </w:tcPr>
        <w:p w14:paraId="68B4F4B3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011C5598" w14:textId="4D7768BA" w:rsidR="00EC379B" w:rsidRPr="009C1E9A" w:rsidRDefault="0031560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 xml:space="preserve">Substitute Document </w:t>
          </w:r>
          <w:r>
            <w:rPr>
              <w:rFonts w:ascii="Shruti" w:hAnsi="Shruti"/>
              <w:sz w:val="22"/>
            </w:rPr>
            <w:t>Number: 87R 18030</w:t>
          </w:r>
        </w:p>
      </w:tc>
      <w:tc>
        <w:tcPr>
          <w:tcW w:w="2453" w:type="pct"/>
        </w:tcPr>
        <w:p w14:paraId="370C49A3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6D71CC81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A3F1F" w14:paraId="2ABCED42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63A4617F" w14:textId="688C0875" w:rsidR="00EC379B" w:rsidRDefault="0031560F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227F84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14:paraId="343D323C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2CE6BF11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AD165B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D225F8" w14:textId="77777777" w:rsidR="00000000" w:rsidRDefault="0031560F">
      <w:r>
        <w:separator/>
      </w:r>
    </w:p>
  </w:footnote>
  <w:footnote w:type="continuationSeparator" w:id="0">
    <w:p w14:paraId="0D7B8515" w14:textId="77777777" w:rsidR="00000000" w:rsidRDefault="003156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B5106E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34891D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6964A1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4316C"/>
    <w:multiLevelType w:val="hybridMultilevel"/>
    <w:tmpl w:val="6EE610AA"/>
    <w:lvl w:ilvl="0" w:tplc="78CA3E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1A8B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60CE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1841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90F6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B1866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0AA7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585E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EF2CC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76D40"/>
    <w:multiLevelType w:val="hybridMultilevel"/>
    <w:tmpl w:val="FCF03E06"/>
    <w:lvl w:ilvl="0" w:tplc="B3680F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FABDA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F647F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4476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E6FC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C1A33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7E47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4240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DB687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F18"/>
    <w:rsid w:val="00000A70"/>
    <w:rsid w:val="000032B8"/>
    <w:rsid w:val="00003B06"/>
    <w:rsid w:val="000054B9"/>
    <w:rsid w:val="00007461"/>
    <w:rsid w:val="0001117E"/>
    <w:rsid w:val="0001125F"/>
    <w:rsid w:val="000126B9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4F2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7A5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0A3"/>
    <w:rsid w:val="001A3DDF"/>
    <w:rsid w:val="001A4310"/>
    <w:rsid w:val="001B053A"/>
    <w:rsid w:val="001B26D8"/>
    <w:rsid w:val="001B3BFA"/>
    <w:rsid w:val="001B75B8"/>
    <w:rsid w:val="001C1230"/>
    <w:rsid w:val="001C1733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27F84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2F02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560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2EFF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6FD6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4A6F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0FB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3ECD"/>
    <w:rsid w:val="00515466"/>
    <w:rsid w:val="005154F7"/>
    <w:rsid w:val="005159DE"/>
    <w:rsid w:val="00526938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183C"/>
    <w:rsid w:val="005B2493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6A0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190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569CC"/>
    <w:rsid w:val="00662B77"/>
    <w:rsid w:val="00662D0E"/>
    <w:rsid w:val="00663265"/>
    <w:rsid w:val="0066345F"/>
    <w:rsid w:val="0066485B"/>
    <w:rsid w:val="0067036E"/>
    <w:rsid w:val="00671693"/>
    <w:rsid w:val="006751E1"/>
    <w:rsid w:val="006757AA"/>
    <w:rsid w:val="0068127E"/>
    <w:rsid w:val="00681790"/>
    <w:rsid w:val="006823AA"/>
    <w:rsid w:val="00684B98"/>
    <w:rsid w:val="00685DC9"/>
    <w:rsid w:val="00687465"/>
    <w:rsid w:val="0068761C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D58D6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155B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210A"/>
    <w:rsid w:val="007C462E"/>
    <w:rsid w:val="007C496B"/>
    <w:rsid w:val="007C6803"/>
    <w:rsid w:val="007D2892"/>
    <w:rsid w:val="007D2DCC"/>
    <w:rsid w:val="007D47E1"/>
    <w:rsid w:val="007D7FCB"/>
    <w:rsid w:val="007E33B6"/>
    <w:rsid w:val="007E420D"/>
    <w:rsid w:val="007E59E8"/>
    <w:rsid w:val="007F3861"/>
    <w:rsid w:val="007F4162"/>
    <w:rsid w:val="007F5441"/>
    <w:rsid w:val="007F7668"/>
    <w:rsid w:val="00800C63"/>
    <w:rsid w:val="008010B2"/>
    <w:rsid w:val="00802243"/>
    <w:rsid w:val="008023D4"/>
    <w:rsid w:val="00805402"/>
    <w:rsid w:val="0080765F"/>
    <w:rsid w:val="00812BE3"/>
    <w:rsid w:val="0081318B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263E"/>
    <w:rsid w:val="008A3188"/>
    <w:rsid w:val="008A3FDF"/>
    <w:rsid w:val="008A6418"/>
    <w:rsid w:val="008B05D8"/>
    <w:rsid w:val="008B0B3D"/>
    <w:rsid w:val="008B2B1A"/>
    <w:rsid w:val="008B3428"/>
    <w:rsid w:val="008B5BF8"/>
    <w:rsid w:val="008B7785"/>
    <w:rsid w:val="008C0809"/>
    <w:rsid w:val="008C132C"/>
    <w:rsid w:val="008C3FD0"/>
    <w:rsid w:val="008D27A5"/>
    <w:rsid w:val="008D2AAB"/>
    <w:rsid w:val="008D2CBB"/>
    <w:rsid w:val="008D309C"/>
    <w:rsid w:val="008D58F9"/>
    <w:rsid w:val="008D767B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3E3C"/>
    <w:rsid w:val="00924EA9"/>
    <w:rsid w:val="00925CE1"/>
    <w:rsid w:val="00925F5C"/>
    <w:rsid w:val="0092675D"/>
    <w:rsid w:val="00930897"/>
    <w:rsid w:val="009320D2"/>
    <w:rsid w:val="00932C77"/>
    <w:rsid w:val="0093417F"/>
    <w:rsid w:val="00934452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24F8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29F1"/>
    <w:rsid w:val="00A33F28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85649"/>
    <w:rsid w:val="00A932BB"/>
    <w:rsid w:val="00A93579"/>
    <w:rsid w:val="00A93934"/>
    <w:rsid w:val="00A95D51"/>
    <w:rsid w:val="00AA18AE"/>
    <w:rsid w:val="00AA228B"/>
    <w:rsid w:val="00AA3AA5"/>
    <w:rsid w:val="00AA3F1F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2938"/>
    <w:rsid w:val="00B14BD2"/>
    <w:rsid w:val="00B1557F"/>
    <w:rsid w:val="00B1668D"/>
    <w:rsid w:val="00B17981"/>
    <w:rsid w:val="00B233BB"/>
    <w:rsid w:val="00B23E96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0E5A"/>
    <w:rsid w:val="00B6104E"/>
    <w:rsid w:val="00B610C7"/>
    <w:rsid w:val="00B62106"/>
    <w:rsid w:val="00B626A8"/>
    <w:rsid w:val="00B65433"/>
    <w:rsid w:val="00B65695"/>
    <w:rsid w:val="00B66526"/>
    <w:rsid w:val="00B665A3"/>
    <w:rsid w:val="00B72038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B71FC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A3F"/>
    <w:rsid w:val="00BF4D7C"/>
    <w:rsid w:val="00BF5085"/>
    <w:rsid w:val="00C013F4"/>
    <w:rsid w:val="00C040AB"/>
    <w:rsid w:val="00C0499B"/>
    <w:rsid w:val="00C05406"/>
    <w:rsid w:val="00C05C01"/>
    <w:rsid w:val="00C05CF0"/>
    <w:rsid w:val="00C119AC"/>
    <w:rsid w:val="00C12F18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279D6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4BCB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D7C40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197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3C64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139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5755D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D6E67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A21F697-3BDB-41A7-B1FC-01360135C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A33F2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33F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33F2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33F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33F28"/>
    <w:rPr>
      <w:b/>
      <w:bCs/>
    </w:rPr>
  </w:style>
  <w:style w:type="character" w:styleId="Hyperlink">
    <w:name w:val="Hyperlink"/>
    <w:basedOn w:val="DefaultParagraphFont"/>
    <w:unhideWhenUsed/>
    <w:rsid w:val="007E420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513E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500</Words>
  <Characters>2769</Characters>
  <Application>Microsoft Office Word</Application>
  <DocSecurity>4</DocSecurity>
  <Lines>72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HB00464 (Committee Report (Substituted))</vt:lpstr>
    </vt:vector>
  </TitlesOfParts>
  <Company>State of Texas</Company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18865</dc:subject>
  <dc:creator>State of Texas</dc:creator>
  <dc:description>HB 464 by Cortez-(H)Public Health (Substitute Document Number: 87R 18030)</dc:description>
  <cp:lastModifiedBy>Stacey Nicchio</cp:lastModifiedBy>
  <cp:revision>2</cp:revision>
  <cp:lastPrinted>2003-11-26T17:21:00Z</cp:lastPrinted>
  <dcterms:created xsi:type="dcterms:W3CDTF">2021-04-12T20:08:00Z</dcterms:created>
  <dcterms:modified xsi:type="dcterms:W3CDTF">2021-04-12T20:08:00Z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21.99.307</vt:lpwstr>
  </property>
</Properties>
</file>