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8CA" w:rsidRDefault="00A418C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6AEA4DE5908486E8DB196B1020F119B"/>
          </w:placeholder>
        </w:sdtPr>
        <w:sdtContent>
          <w:r w:rsidRPr="005C2A78">
            <w:rPr>
              <w:rFonts w:cs="Times New Roman"/>
              <w:b/>
              <w:szCs w:val="24"/>
              <w:u w:val="single"/>
            </w:rPr>
            <w:t>BILL ANALYSIS</w:t>
          </w:r>
        </w:sdtContent>
      </w:sdt>
    </w:p>
    <w:p w:rsidR="00A418CA" w:rsidRPr="00585C31" w:rsidRDefault="00A418CA" w:rsidP="000F1DF9">
      <w:pPr>
        <w:spacing w:after="0" w:line="240" w:lineRule="auto"/>
        <w:rPr>
          <w:rFonts w:cs="Times New Roman"/>
          <w:szCs w:val="24"/>
        </w:rPr>
      </w:pPr>
    </w:p>
    <w:p w:rsidR="00A418CA" w:rsidRPr="00585C31" w:rsidRDefault="00A418C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418CA" w:rsidTr="000F1DF9">
        <w:tc>
          <w:tcPr>
            <w:tcW w:w="2718" w:type="dxa"/>
          </w:tcPr>
          <w:p w:rsidR="00A418CA" w:rsidRPr="005C2A78" w:rsidRDefault="00A418CA" w:rsidP="006D756B">
            <w:pPr>
              <w:rPr>
                <w:rFonts w:cs="Times New Roman"/>
                <w:szCs w:val="24"/>
              </w:rPr>
            </w:pPr>
            <w:sdt>
              <w:sdtPr>
                <w:rPr>
                  <w:rFonts w:cs="Times New Roman"/>
                  <w:szCs w:val="24"/>
                </w:rPr>
                <w:alias w:val="Agency Title"/>
                <w:tag w:val="AgencyTitleContentControl"/>
                <w:id w:val="1920747753"/>
                <w:lock w:val="sdtContentLocked"/>
                <w:placeholder>
                  <w:docPart w:val="35F7CE71F59048C0970B254F8B36E841"/>
                </w:placeholder>
              </w:sdtPr>
              <w:sdtEndPr>
                <w:rPr>
                  <w:rFonts w:cstheme="minorBidi"/>
                  <w:szCs w:val="22"/>
                </w:rPr>
              </w:sdtEndPr>
              <w:sdtContent>
                <w:r>
                  <w:rPr>
                    <w:rFonts w:cs="Times New Roman"/>
                    <w:szCs w:val="24"/>
                  </w:rPr>
                  <w:t>Senate Research Center</w:t>
                </w:r>
              </w:sdtContent>
            </w:sdt>
          </w:p>
        </w:tc>
        <w:tc>
          <w:tcPr>
            <w:tcW w:w="6858" w:type="dxa"/>
          </w:tcPr>
          <w:p w:rsidR="00A418CA" w:rsidRPr="00FF6471" w:rsidRDefault="00A418CA" w:rsidP="000F1DF9">
            <w:pPr>
              <w:jc w:val="right"/>
              <w:rPr>
                <w:rFonts w:cs="Times New Roman"/>
                <w:szCs w:val="24"/>
              </w:rPr>
            </w:pPr>
            <w:sdt>
              <w:sdtPr>
                <w:rPr>
                  <w:rFonts w:cs="Times New Roman"/>
                  <w:szCs w:val="24"/>
                </w:rPr>
                <w:alias w:val="Bill Number"/>
                <w:tag w:val="BillNumberOne"/>
                <w:id w:val="-410784069"/>
                <w:lock w:val="sdtContentLocked"/>
                <w:placeholder>
                  <w:docPart w:val="38DFFC402F604CC98EDBCF6FF6152A2A"/>
                </w:placeholder>
              </w:sdtPr>
              <w:sdtContent>
                <w:r>
                  <w:rPr>
                    <w:rFonts w:cs="Times New Roman"/>
                    <w:szCs w:val="24"/>
                  </w:rPr>
                  <w:t>C.S.H.B. 492</w:t>
                </w:r>
              </w:sdtContent>
            </w:sdt>
          </w:p>
        </w:tc>
      </w:tr>
      <w:tr w:rsidR="00A418CA" w:rsidTr="000F1DF9">
        <w:sdt>
          <w:sdtPr>
            <w:rPr>
              <w:rFonts w:cs="Times New Roman"/>
              <w:szCs w:val="24"/>
            </w:rPr>
            <w:alias w:val="TLCNumber"/>
            <w:tag w:val="TLCNumber"/>
            <w:id w:val="-542600604"/>
            <w:lock w:val="sdtLocked"/>
            <w:placeholder>
              <w:docPart w:val="554BBD66ED784B8D88F6352EC8A70CEB"/>
            </w:placeholder>
            <w:showingPlcHdr/>
          </w:sdtPr>
          <w:sdtContent>
            <w:tc>
              <w:tcPr>
                <w:tcW w:w="2718" w:type="dxa"/>
              </w:tcPr>
              <w:p w:rsidR="00A418CA" w:rsidRPr="000F1DF9" w:rsidRDefault="00A418CA" w:rsidP="00C65088">
                <w:pPr>
                  <w:rPr>
                    <w:rFonts w:cs="Times New Roman"/>
                    <w:szCs w:val="24"/>
                  </w:rPr>
                </w:pPr>
              </w:p>
            </w:tc>
          </w:sdtContent>
        </w:sdt>
        <w:tc>
          <w:tcPr>
            <w:tcW w:w="6858" w:type="dxa"/>
          </w:tcPr>
          <w:p w:rsidR="00A418CA" w:rsidRPr="005C2A78" w:rsidRDefault="00A418CA" w:rsidP="00073EDD">
            <w:pPr>
              <w:jc w:val="right"/>
              <w:rPr>
                <w:rFonts w:cs="Times New Roman"/>
                <w:szCs w:val="24"/>
              </w:rPr>
            </w:pPr>
            <w:sdt>
              <w:sdtPr>
                <w:rPr>
                  <w:rFonts w:cs="Times New Roman"/>
                  <w:szCs w:val="24"/>
                </w:rPr>
                <w:alias w:val="Author Label"/>
                <w:tag w:val="By"/>
                <w:id w:val="72399597"/>
                <w:lock w:val="sdtLocked"/>
                <w:placeholder>
                  <w:docPart w:val="0CC4DA2D8C0E4118957A6A6C887E76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2F08E836F6540E2997AE8B625A8AB1F"/>
                </w:placeholder>
              </w:sdtPr>
              <w:sdtContent>
                <w:r>
                  <w:rPr>
                    <w:rFonts w:cs="Times New Roman"/>
                    <w:szCs w:val="24"/>
                  </w:rPr>
                  <w:t>Wu et al.</w:t>
                </w:r>
              </w:sdtContent>
            </w:sdt>
            <w:sdt>
              <w:sdtPr>
                <w:rPr>
                  <w:rFonts w:cs="Times New Roman"/>
                  <w:szCs w:val="24"/>
                </w:rPr>
                <w:alias w:val="Sponsor"/>
                <w:tag w:val="Sponsor"/>
                <w:id w:val="-2039656131"/>
                <w:lock w:val="sdtContentLocked"/>
                <w:placeholder>
                  <w:docPart w:val="49226E850D37403F9B8A72C23867E727"/>
                </w:placeholder>
              </w:sdtPr>
              <w:sdtContent>
                <w:r>
                  <w:rPr>
                    <w:rFonts w:cs="Times New Roman"/>
                    <w:szCs w:val="24"/>
                  </w:rPr>
                  <w:t xml:space="preserve"> (West)</w:t>
                </w:r>
              </w:sdtContent>
            </w:sdt>
            <w:sdt>
              <w:sdtPr>
                <w:rPr>
                  <w:rFonts w:cs="Times New Roman"/>
                  <w:szCs w:val="24"/>
                </w:rPr>
                <w:alias w:val="DualSponsor"/>
                <w:tag w:val="DualSponsor"/>
                <w:id w:val="1029379812"/>
                <w:lock w:val="sdtContentLocked"/>
                <w:placeholder>
                  <w:docPart w:val="ABBDD64B224247298FDAE03DAC4C4436"/>
                </w:placeholder>
                <w:showingPlcHdr/>
              </w:sdtPr>
              <w:sdtContent/>
            </w:sdt>
          </w:p>
        </w:tc>
      </w:tr>
      <w:tr w:rsidR="00A418CA" w:rsidTr="000F1DF9">
        <w:tc>
          <w:tcPr>
            <w:tcW w:w="2718" w:type="dxa"/>
          </w:tcPr>
          <w:p w:rsidR="00A418CA" w:rsidRPr="00BC7495" w:rsidRDefault="00A418CA" w:rsidP="000F1DF9">
            <w:pPr>
              <w:rPr>
                <w:rFonts w:cs="Times New Roman"/>
                <w:szCs w:val="24"/>
              </w:rPr>
            </w:pPr>
          </w:p>
        </w:tc>
        <w:sdt>
          <w:sdtPr>
            <w:rPr>
              <w:rFonts w:cs="Times New Roman"/>
              <w:szCs w:val="24"/>
            </w:rPr>
            <w:alias w:val="Committee"/>
            <w:tag w:val="Committee"/>
            <w:id w:val="1914272295"/>
            <w:lock w:val="sdtContentLocked"/>
            <w:placeholder>
              <w:docPart w:val="78187BBD37F84A3F8ECB6C7CC950C147"/>
            </w:placeholder>
          </w:sdtPr>
          <w:sdtContent>
            <w:tc>
              <w:tcPr>
                <w:tcW w:w="6858" w:type="dxa"/>
              </w:tcPr>
              <w:p w:rsidR="00A418CA" w:rsidRPr="00FF6471" w:rsidRDefault="00A418CA" w:rsidP="000F1DF9">
                <w:pPr>
                  <w:jc w:val="right"/>
                  <w:rPr>
                    <w:rFonts w:cs="Times New Roman"/>
                    <w:szCs w:val="24"/>
                  </w:rPr>
                </w:pPr>
                <w:r>
                  <w:rPr>
                    <w:rFonts w:cs="Times New Roman"/>
                    <w:szCs w:val="24"/>
                  </w:rPr>
                  <w:t>Jurisprudence</w:t>
                </w:r>
              </w:p>
            </w:tc>
          </w:sdtContent>
        </w:sdt>
      </w:tr>
      <w:tr w:rsidR="00A418CA" w:rsidTr="000F1DF9">
        <w:tc>
          <w:tcPr>
            <w:tcW w:w="2718" w:type="dxa"/>
          </w:tcPr>
          <w:p w:rsidR="00A418CA" w:rsidRPr="00BC7495" w:rsidRDefault="00A418CA" w:rsidP="000F1DF9">
            <w:pPr>
              <w:rPr>
                <w:rFonts w:cs="Times New Roman"/>
                <w:szCs w:val="24"/>
              </w:rPr>
            </w:pPr>
          </w:p>
        </w:tc>
        <w:sdt>
          <w:sdtPr>
            <w:rPr>
              <w:rFonts w:cs="Times New Roman"/>
              <w:szCs w:val="24"/>
            </w:rPr>
            <w:alias w:val="Date"/>
            <w:tag w:val="DateContentControl"/>
            <w:id w:val="1178081906"/>
            <w:lock w:val="sdtLocked"/>
            <w:placeholder>
              <w:docPart w:val="83E681D0E6D54B9F9A0BC77AC433E795"/>
            </w:placeholder>
            <w:date w:fullDate="2021-05-22T00:00:00Z">
              <w:dateFormat w:val="M/d/yyyy"/>
              <w:lid w:val="en-US"/>
              <w:storeMappedDataAs w:val="dateTime"/>
              <w:calendar w:val="gregorian"/>
            </w:date>
          </w:sdtPr>
          <w:sdtContent>
            <w:tc>
              <w:tcPr>
                <w:tcW w:w="6858" w:type="dxa"/>
              </w:tcPr>
              <w:p w:rsidR="00A418CA" w:rsidRPr="00FF6471" w:rsidRDefault="00A418CA" w:rsidP="000F1DF9">
                <w:pPr>
                  <w:jc w:val="right"/>
                  <w:rPr>
                    <w:rFonts w:cs="Times New Roman"/>
                    <w:szCs w:val="24"/>
                  </w:rPr>
                </w:pPr>
                <w:r>
                  <w:rPr>
                    <w:rFonts w:cs="Times New Roman"/>
                    <w:szCs w:val="24"/>
                  </w:rPr>
                  <w:t>5/22/2021</w:t>
                </w:r>
              </w:p>
            </w:tc>
          </w:sdtContent>
        </w:sdt>
      </w:tr>
      <w:tr w:rsidR="00A418CA" w:rsidTr="000F1DF9">
        <w:tc>
          <w:tcPr>
            <w:tcW w:w="2718" w:type="dxa"/>
          </w:tcPr>
          <w:p w:rsidR="00A418CA" w:rsidRPr="00BC7495" w:rsidRDefault="00A418CA" w:rsidP="000F1DF9">
            <w:pPr>
              <w:rPr>
                <w:rFonts w:cs="Times New Roman"/>
                <w:szCs w:val="24"/>
              </w:rPr>
            </w:pPr>
          </w:p>
        </w:tc>
        <w:sdt>
          <w:sdtPr>
            <w:rPr>
              <w:rFonts w:cs="Times New Roman"/>
              <w:szCs w:val="24"/>
            </w:rPr>
            <w:alias w:val="BA Version"/>
            <w:tag w:val="BAVersion"/>
            <w:id w:val="-1685590809"/>
            <w:lock w:val="sdtContentLocked"/>
            <w:placeholder>
              <w:docPart w:val="FE19D1238F8D4590B1FD7E1F67615D3B"/>
            </w:placeholder>
          </w:sdtPr>
          <w:sdtContent>
            <w:tc>
              <w:tcPr>
                <w:tcW w:w="6858" w:type="dxa"/>
              </w:tcPr>
              <w:p w:rsidR="00A418CA" w:rsidRPr="00FF6471" w:rsidRDefault="00A418CA" w:rsidP="000F1DF9">
                <w:pPr>
                  <w:jc w:val="right"/>
                  <w:rPr>
                    <w:rFonts w:cs="Times New Roman"/>
                    <w:szCs w:val="24"/>
                  </w:rPr>
                </w:pPr>
                <w:r>
                  <w:rPr>
                    <w:rFonts w:cs="Times New Roman"/>
                    <w:szCs w:val="24"/>
                  </w:rPr>
                  <w:t>Committee Report (Substituted)</w:t>
                </w:r>
              </w:p>
            </w:tc>
          </w:sdtContent>
        </w:sdt>
      </w:tr>
    </w:tbl>
    <w:p w:rsidR="00A418CA" w:rsidRPr="00FF6471" w:rsidRDefault="00A418CA" w:rsidP="000F1DF9">
      <w:pPr>
        <w:spacing w:after="0" w:line="240" w:lineRule="auto"/>
        <w:rPr>
          <w:rFonts w:cs="Times New Roman"/>
          <w:szCs w:val="24"/>
        </w:rPr>
      </w:pPr>
    </w:p>
    <w:p w:rsidR="00A418CA" w:rsidRPr="00FF6471" w:rsidRDefault="00A418CA" w:rsidP="000F1DF9">
      <w:pPr>
        <w:spacing w:after="0" w:line="240" w:lineRule="auto"/>
        <w:rPr>
          <w:rFonts w:cs="Times New Roman"/>
          <w:szCs w:val="24"/>
        </w:rPr>
      </w:pPr>
    </w:p>
    <w:p w:rsidR="00A418CA" w:rsidRPr="00FF6471" w:rsidRDefault="00A418C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0FB4DC0AFB14468929FF165406ED985"/>
        </w:placeholder>
      </w:sdtPr>
      <w:sdtContent>
        <w:p w:rsidR="00A418CA" w:rsidRDefault="00A418C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DBADD44635495AAA16B5078825F237"/>
        </w:placeholder>
      </w:sdtPr>
      <w:sdtContent>
        <w:p w:rsidR="00A418CA" w:rsidRDefault="00A418CA" w:rsidP="008E4C3E">
          <w:pPr>
            <w:pStyle w:val="NormalWeb"/>
            <w:shd w:val="clear" w:color="000000" w:fill="auto"/>
            <w:spacing w:before="0" w:beforeAutospacing="0" w:after="0" w:afterAutospacing="0"/>
            <w:jc w:val="both"/>
            <w:divId w:val="1031491760"/>
            <w:rPr>
              <w:rFonts w:eastAsia="Times New Roman" w:cstheme="minorBidi"/>
              <w:bCs/>
              <w:szCs w:val="22"/>
            </w:rPr>
          </w:pPr>
        </w:p>
        <w:p w:rsidR="00A418CA" w:rsidRDefault="00A418CA" w:rsidP="008E4C3E">
          <w:pPr>
            <w:pStyle w:val="NormalWeb"/>
            <w:shd w:val="clear" w:color="000000" w:fill="auto"/>
            <w:spacing w:before="0" w:beforeAutospacing="0" w:after="0" w:afterAutospacing="0"/>
            <w:jc w:val="both"/>
            <w:divId w:val="1031491760"/>
          </w:pPr>
          <w:r w:rsidRPr="00391054">
            <w:t xml:space="preserve">In </w:t>
          </w:r>
          <w:r w:rsidRPr="00A12CBF">
            <w:rPr>
              <w:i/>
            </w:rPr>
            <w:t>Richards v. Wisconsin</w:t>
          </w:r>
          <w:r w:rsidRPr="00391054">
            <w:t>, the U.S. Supreme Court held in its 1997 decision that the underlying premise for an unannounced entry by law enforcement was that "knocking and announcing their presence would be dangerous…or that it would inhibit the effective investigation of the crime by, for example, allowing the destruction of evidence."</w:t>
          </w:r>
        </w:p>
        <w:p w:rsidR="00A418CA" w:rsidRPr="00391054" w:rsidRDefault="00A418CA" w:rsidP="008E4C3E">
          <w:pPr>
            <w:pStyle w:val="NormalWeb"/>
            <w:shd w:val="clear" w:color="000000" w:fill="auto"/>
            <w:spacing w:before="0" w:beforeAutospacing="0" w:after="0" w:afterAutospacing="0"/>
            <w:jc w:val="both"/>
            <w:divId w:val="1031491760"/>
          </w:pPr>
        </w:p>
        <w:p w:rsidR="00A418CA" w:rsidRDefault="00A418CA" w:rsidP="008E4C3E">
          <w:pPr>
            <w:pStyle w:val="NormalWeb"/>
            <w:shd w:val="clear" w:color="000000" w:fill="auto"/>
            <w:spacing w:before="0" w:beforeAutospacing="0" w:after="0" w:afterAutospacing="0"/>
            <w:jc w:val="both"/>
            <w:divId w:val="1031491760"/>
          </w:pPr>
          <w:r w:rsidRPr="00391054">
            <w:t>But there is another aspect regarding the use of "no-knock warrants" that must also be considered. In January 2019, a no-knock warrant issued in Houston based on false information provided by an informant resulted in two deaths and injuries to multiple officers by gunfire. For those reasons, concerns have been raised regarding the issuance of arrest warrants and search warrants that authorize the use of a no-knock entry in which a peace officer enters a building without first giving notice of the officer's authority or purpose before entering.</w:t>
          </w:r>
        </w:p>
        <w:p w:rsidR="00A418CA" w:rsidRPr="00391054" w:rsidRDefault="00A418CA" w:rsidP="008E4C3E">
          <w:pPr>
            <w:pStyle w:val="NormalWeb"/>
            <w:shd w:val="clear" w:color="000000" w:fill="auto"/>
            <w:spacing w:before="0" w:beforeAutospacing="0" w:after="0" w:afterAutospacing="0"/>
            <w:jc w:val="both"/>
            <w:divId w:val="1031491760"/>
          </w:pPr>
        </w:p>
        <w:p w:rsidR="00A418CA" w:rsidRDefault="00A418CA" w:rsidP="008E4C3E">
          <w:pPr>
            <w:pStyle w:val="NormalWeb"/>
            <w:shd w:val="clear" w:color="000000" w:fill="auto"/>
            <w:spacing w:before="0" w:beforeAutospacing="0" w:after="0" w:afterAutospacing="0"/>
            <w:jc w:val="both"/>
            <w:divId w:val="1031491760"/>
          </w:pPr>
          <w:r w:rsidRPr="00391054">
            <w:t>H.B. 492 seeks to address these concerns by putting certain requirements in place that allow a no-knock warrant to be issued by the courts.</w:t>
          </w:r>
        </w:p>
        <w:p w:rsidR="00A418CA" w:rsidRPr="00391054" w:rsidRDefault="00A418CA" w:rsidP="008E4C3E">
          <w:pPr>
            <w:pStyle w:val="NormalWeb"/>
            <w:shd w:val="clear" w:color="000000" w:fill="auto"/>
            <w:spacing w:before="0" w:beforeAutospacing="0" w:after="0" w:afterAutospacing="0"/>
            <w:jc w:val="both"/>
            <w:divId w:val="1031491760"/>
          </w:pPr>
        </w:p>
        <w:p w:rsidR="00A418CA" w:rsidRDefault="00A418CA" w:rsidP="008E4C3E">
          <w:pPr>
            <w:pStyle w:val="NormalWeb"/>
            <w:shd w:val="clear" w:color="000000" w:fill="auto"/>
            <w:spacing w:before="0" w:beforeAutospacing="0" w:after="0" w:afterAutospacing="0"/>
            <w:jc w:val="both"/>
            <w:divId w:val="1031491760"/>
          </w:pPr>
          <w:r w:rsidRPr="00391054">
            <w:t>H.B. 492 does not ban or prohibit the use of no-knock warrants by law enforcement.</w:t>
          </w:r>
        </w:p>
        <w:p w:rsidR="00A418CA" w:rsidRPr="00391054" w:rsidRDefault="00A418CA" w:rsidP="008E4C3E">
          <w:pPr>
            <w:pStyle w:val="NormalWeb"/>
            <w:shd w:val="clear" w:color="000000" w:fill="auto"/>
            <w:spacing w:before="0" w:beforeAutospacing="0" w:after="0" w:afterAutospacing="0"/>
            <w:jc w:val="both"/>
            <w:divId w:val="1031491760"/>
          </w:pPr>
        </w:p>
        <w:p w:rsidR="00A418CA" w:rsidRDefault="00A418CA" w:rsidP="008E4C3E">
          <w:pPr>
            <w:pStyle w:val="NormalWeb"/>
            <w:shd w:val="clear" w:color="000000" w:fill="auto"/>
            <w:spacing w:before="0" w:beforeAutospacing="0" w:after="0" w:afterAutospacing="0"/>
            <w:jc w:val="both"/>
            <w:divId w:val="1031491760"/>
          </w:pPr>
          <w:r w:rsidRPr="00391054">
            <w:t>H.B. 492 prohibits the issuance of a warrant by a magistrate who is not a district court judge or a statutory county court judge.</w:t>
          </w:r>
        </w:p>
        <w:p w:rsidR="00A418CA" w:rsidRPr="00391054" w:rsidRDefault="00A418CA" w:rsidP="008E4C3E">
          <w:pPr>
            <w:pStyle w:val="NormalWeb"/>
            <w:shd w:val="clear" w:color="000000" w:fill="auto"/>
            <w:spacing w:before="0" w:beforeAutospacing="0" w:after="0" w:afterAutospacing="0"/>
            <w:jc w:val="both"/>
            <w:divId w:val="1031491760"/>
          </w:pPr>
        </w:p>
        <w:p w:rsidR="00A418CA" w:rsidRDefault="00A418CA" w:rsidP="008E4C3E">
          <w:pPr>
            <w:pStyle w:val="NormalWeb"/>
            <w:shd w:val="clear" w:color="000000" w:fill="auto"/>
            <w:spacing w:before="0" w:beforeAutospacing="0" w:after="0" w:afterAutospacing="0"/>
            <w:jc w:val="both"/>
            <w:divId w:val="1031491760"/>
          </w:pPr>
          <w:r w:rsidRPr="00391054">
            <w:t>H.B. 492 requires the complaint to the courts by a law enforcement agency to be submitted by the chief administrator of a law enforcement agency, or by the chief's designee.</w:t>
          </w:r>
        </w:p>
        <w:p w:rsidR="00A418CA" w:rsidRPr="00D70925" w:rsidRDefault="00A418CA" w:rsidP="008E4C3E">
          <w:pPr>
            <w:shd w:val="clear" w:color="000000" w:fill="auto"/>
            <w:spacing w:after="0" w:line="240" w:lineRule="auto"/>
            <w:jc w:val="both"/>
            <w:rPr>
              <w:rFonts w:eastAsia="Times New Roman" w:cs="Times New Roman"/>
              <w:bCs/>
              <w:szCs w:val="24"/>
            </w:rPr>
          </w:pPr>
        </w:p>
      </w:sdtContent>
    </w:sdt>
    <w:p w:rsidR="00A418CA" w:rsidRDefault="00A418CA" w:rsidP="000F1DF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A418CA" w:rsidRDefault="00A418CA" w:rsidP="000F1DF9">
      <w:pPr>
        <w:spacing w:after="0" w:line="240" w:lineRule="auto"/>
        <w:jc w:val="both"/>
        <w:rPr>
          <w:rFonts w:cs="Times New Roman"/>
          <w:szCs w:val="24"/>
        </w:rPr>
      </w:pPr>
    </w:p>
    <w:p w:rsidR="00A418CA" w:rsidRDefault="00A418CA" w:rsidP="000F1DF9">
      <w:pPr>
        <w:spacing w:after="0" w:line="240" w:lineRule="auto"/>
        <w:jc w:val="both"/>
        <w:rPr>
          <w:rFonts w:eastAsia="Times New Roman" w:cs="Times New Roman"/>
          <w:b/>
          <w:szCs w:val="24"/>
          <w:u w:val="single"/>
        </w:rPr>
      </w:pPr>
      <w:r>
        <w:rPr>
          <w:rFonts w:cs="Times New Roman"/>
          <w:szCs w:val="24"/>
        </w:rPr>
        <w:t xml:space="preserve">C.S.H.B. 492 </w:t>
      </w:r>
      <w:bookmarkStart w:id="1" w:name="AmendsCurrentLaw"/>
      <w:bookmarkEnd w:id="1"/>
      <w:r>
        <w:rPr>
          <w:rFonts w:cs="Times New Roman"/>
          <w:szCs w:val="24"/>
        </w:rPr>
        <w:t>amends current law relating to the issuance of a warrant authorizing the use of a no-knock entry by a peace officer.</w:t>
      </w:r>
    </w:p>
    <w:p w:rsidR="00A418CA" w:rsidRPr="003870FA" w:rsidRDefault="00A418CA" w:rsidP="000F1DF9">
      <w:pPr>
        <w:spacing w:after="0" w:line="240" w:lineRule="auto"/>
        <w:jc w:val="both"/>
        <w:rPr>
          <w:rFonts w:eastAsia="Times New Roman" w:cs="Times New Roman"/>
          <w:szCs w:val="24"/>
        </w:rPr>
      </w:pPr>
    </w:p>
    <w:p w:rsidR="00A418CA" w:rsidRPr="005C2A78" w:rsidRDefault="00A418C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58D5014CFE44D72918162BCAB25DC2A"/>
          </w:placeholder>
        </w:sdtPr>
        <w:sdtContent>
          <w:r>
            <w:rPr>
              <w:rFonts w:eastAsia="Times New Roman" w:cs="Times New Roman"/>
              <w:b/>
              <w:szCs w:val="24"/>
              <w:u w:val="single"/>
            </w:rPr>
            <w:t>RULEMAKING AUTHORITY</w:t>
          </w:r>
        </w:sdtContent>
      </w:sdt>
    </w:p>
    <w:p w:rsidR="00A418CA" w:rsidRPr="006529C4" w:rsidRDefault="00A418CA" w:rsidP="00774EC7">
      <w:pPr>
        <w:spacing w:after="0" w:line="240" w:lineRule="auto"/>
        <w:jc w:val="both"/>
        <w:rPr>
          <w:rFonts w:cs="Times New Roman"/>
          <w:szCs w:val="24"/>
        </w:rPr>
      </w:pPr>
    </w:p>
    <w:p w:rsidR="00A418CA" w:rsidRPr="006529C4" w:rsidRDefault="00A418C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418CA" w:rsidRPr="006529C4" w:rsidRDefault="00A418CA" w:rsidP="00774EC7">
      <w:pPr>
        <w:spacing w:after="0" w:line="240" w:lineRule="auto"/>
        <w:jc w:val="both"/>
        <w:rPr>
          <w:rFonts w:cs="Times New Roman"/>
          <w:szCs w:val="24"/>
        </w:rPr>
      </w:pPr>
    </w:p>
    <w:p w:rsidR="00A418CA" w:rsidRPr="005C2A78" w:rsidRDefault="00A418C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46B415FAFC488F9C00A25B18D07130"/>
          </w:placeholder>
        </w:sdtPr>
        <w:sdtContent>
          <w:r>
            <w:rPr>
              <w:rFonts w:eastAsia="Times New Roman" w:cs="Times New Roman"/>
              <w:b/>
              <w:szCs w:val="24"/>
              <w:u w:val="single"/>
            </w:rPr>
            <w:t>SECTION BY SECTION ANALYSIS</w:t>
          </w:r>
        </w:sdtContent>
      </w:sdt>
    </w:p>
    <w:p w:rsidR="00A418CA" w:rsidRPr="005C2A78" w:rsidRDefault="00A418CA" w:rsidP="00A418CA">
      <w:pPr>
        <w:spacing w:after="0" w:line="240" w:lineRule="auto"/>
        <w:jc w:val="both"/>
        <w:rPr>
          <w:rFonts w:eastAsia="Times New Roman" w:cs="Times New Roman"/>
          <w:szCs w:val="24"/>
        </w:rPr>
      </w:pPr>
    </w:p>
    <w:p w:rsidR="00A418CA" w:rsidRDefault="00A418CA" w:rsidP="00A418C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15, Code of Criminal Procedure, by adding Article 15.251, as follows:</w:t>
      </w:r>
    </w:p>
    <w:p w:rsidR="00A418CA" w:rsidRPr="003870FA" w:rsidRDefault="00A418CA" w:rsidP="00A418CA">
      <w:pPr>
        <w:spacing w:after="0" w:line="240" w:lineRule="auto"/>
        <w:jc w:val="both"/>
        <w:rPr>
          <w:rFonts w:eastAsia="Times New Roman" w:cs="Times New Roman"/>
          <w:szCs w:val="24"/>
        </w:rPr>
      </w:pPr>
    </w:p>
    <w:p w:rsidR="00A418CA" w:rsidRPr="003870FA" w:rsidRDefault="00A418CA" w:rsidP="00A418CA">
      <w:pPr>
        <w:spacing w:after="0" w:line="240" w:lineRule="auto"/>
        <w:ind w:left="720"/>
        <w:jc w:val="both"/>
        <w:rPr>
          <w:rFonts w:eastAsia="Times New Roman" w:cs="Times New Roman"/>
          <w:szCs w:val="24"/>
        </w:rPr>
      </w:pPr>
      <w:r w:rsidRPr="003870FA">
        <w:rPr>
          <w:rFonts w:eastAsia="Times New Roman" w:cs="Times New Roman"/>
          <w:szCs w:val="24"/>
        </w:rPr>
        <w:t>Art. 15.251.  NO-KNOCK WARRANT.  (a) Defines "no-knock entry."</w:t>
      </w:r>
    </w:p>
    <w:p w:rsidR="00A418CA" w:rsidRPr="003870FA" w:rsidRDefault="00A418CA" w:rsidP="00A418CA">
      <w:pPr>
        <w:spacing w:after="0" w:line="240" w:lineRule="auto"/>
        <w:ind w:left="720"/>
        <w:jc w:val="both"/>
        <w:rPr>
          <w:rFonts w:eastAsia="Times New Roman" w:cs="Times New Roman"/>
          <w:szCs w:val="24"/>
        </w:rPr>
      </w:pPr>
    </w:p>
    <w:p w:rsidR="00A418CA" w:rsidRPr="003870FA" w:rsidRDefault="00A418CA" w:rsidP="00A418CA">
      <w:pPr>
        <w:spacing w:after="0" w:line="240" w:lineRule="auto"/>
        <w:ind w:left="1440"/>
        <w:jc w:val="both"/>
        <w:rPr>
          <w:rFonts w:cs="Times New Roman"/>
          <w:szCs w:val="24"/>
          <w:shd w:val="clear" w:color="auto" w:fill="FFFFFF"/>
        </w:rPr>
      </w:pPr>
      <w:r w:rsidRPr="003870FA">
        <w:rPr>
          <w:rFonts w:eastAsia="Times New Roman" w:cs="Times New Roman"/>
          <w:szCs w:val="24"/>
        </w:rPr>
        <w:t xml:space="preserve">(b) </w:t>
      </w:r>
      <w:r>
        <w:rPr>
          <w:rFonts w:eastAsia="Times New Roman" w:cs="Times New Roman"/>
          <w:szCs w:val="24"/>
        </w:rPr>
        <w:t xml:space="preserve">Provides that, notwithstanding any other law, only the following magistrates may issue a warrant under Chapter 15 </w:t>
      </w:r>
      <w:r w:rsidRPr="003870FA">
        <w:rPr>
          <w:rFonts w:cs="Times New Roman"/>
          <w:szCs w:val="24"/>
          <w:shd w:val="clear" w:color="auto" w:fill="FFFFFF"/>
        </w:rPr>
        <w:t>(Arrest Under Warrant) that authorizes a no-knock entry</w:t>
      </w:r>
      <w:r>
        <w:rPr>
          <w:rFonts w:cs="Times New Roman"/>
          <w:szCs w:val="24"/>
          <w:shd w:val="clear" w:color="auto" w:fill="FFFFFF"/>
        </w:rPr>
        <w:t>:</w:t>
      </w:r>
    </w:p>
    <w:p w:rsidR="00A418CA" w:rsidRPr="003870FA" w:rsidRDefault="00A418CA" w:rsidP="00A418CA">
      <w:pPr>
        <w:spacing w:after="0" w:line="240" w:lineRule="auto"/>
        <w:ind w:left="1440"/>
        <w:jc w:val="both"/>
        <w:rPr>
          <w:rFonts w:cs="Times New Roman"/>
          <w:szCs w:val="24"/>
          <w:shd w:val="clear" w:color="auto" w:fill="FFFFFF"/>
        </w:rPr>
      </w:pPr>
    </w:p>
    <w:p w:rsidR="00A418CA" w:rsidRDefault="00A418CA" w:rsidP="00A418CA">
      <w:pPr>
        <w:spacing w:after="0" w:line="240" w:lineRule="auto"/>
        <w:ind w:left="2160"/>
        <w:jc w:val="both"/>
        <w:rPr>
          <w:rFonts w:eastAsia="Times New Roman" w:cs="Times New Roman"/>
          <w:szCs w:val="24"/>
        </w:rPr>
      </w:pPr>
      <w:r>
        <w:rPr>
          <w:rFonts w:eastAsia="Times New Roman" w:cs="Times New Roman"/>
          <w:szCs w:val="24"/>
        </w:rPr>
        <w:t>(1) a district court judge;</w:t>
      </w:r>
    </w:p>
    <w:p w:rsidR="00A418CA" w:rsidRDefault="00A418CA" w:rsidP="00A418CA">
      <w:pPr>
        <w:spacing w:after="0" w:line="240" w:lineRule="auto"/>
        <w:ind w:left="2160"/>
        <w:jc w:val="both"/>
        <w:rPr>
          <w:rFonts w:eastAsia="Times New Roman" w:cs="Times New Roman"/>
          <w:szCs w:val="24"/>
        </w:rPr>
      </w:pPr>
    </w:p>
    <w:p w:rsidR="00A418CA" w:rsidRDefault="00A418CA" w:rsidP="00A418CA">
      <w:pPr>
        <w:spacing w:after="0" w:line="240" w:lineRule="auto"/>
        <w:ind w:left="2160"/>
        <w:jc w:val="both"/>
        <w:rPr>
          <w:rFonts w:eastAsia="Times New Roman" w:cs="Times New Roman"/>
          <w:szCs w:val="24"/>
        </w:rPr>
      </w:pPr>
      <w:r>
        <w:rPr>
          <w:rFonts w:eastAsia="Times New Roman" w:cs="Times New Roman"/>
          <w:szCs w:val="24"/>
        </w:rPr>
        <w:t>(2) a statutory county court judge;</w:t>
      </w:r>
    </w:p>
    <w:p w:rsidR="00A418CA" w:rsidRDefault="00A418CA" w:rsidP="00A418CA">
      <w:pPr>
        <w:spacing w:after="0" w:line="240" w:lineRule="auto"/>
        <w:ind w:left="2160"/>
        <w:jc w:val="both"/>
        <w:rPr>
          <w:rFonts w:eastAsia="Times New Roman" w:cs="Times New Roman"/>
          <w:szCs w:val="24"/>
        </w:rPr>
      </w:pPr>
    </w:p>
    <w:p w:rsidR="00A418CA" w:rsidRDefault="00A418CA" w:rsidP="00A418CA">
      <w:pPr>
        <w:spacing w:after="0" w:line="240" w:lineRule="auto"/>
        <w:ind w:left="2160"/>
        <w:jc w:val="both"/>
        <w:rPr>
          <w:rFonts w:eastAsia="Times New Roman" w:cs="Times New Roman"/>
          <w:szCs w:val="24"/>
        </w:rPr>
      </w:pPr>
      <w:r>
        <w:rPr>
          <w:rFonts w:eastAsia="Times New Roman" w:cs="Times New Roman"/>
          <w:szCs w:val="24"/>
        </w:rPr>
        <w:t>(3) a judge of a county court who is an attorney licensed by this state;</w:t>
      </w:r>
    </w:p>
    <w:p w:rsidR="00A418CA" w:rsidRDefault="00A418CA" w:rsidP="00A418CA">
      <w:pPr>
        <w:spacing w:after="0" w:line="240" w:lineRule="auto"/>
        <w:ind w:left="2160"/>
        <w:jc w:val="both"/>
        <w:rPr>
          <w:rFonts w:eastAsia="Times New Roman" w:cs="Times New Roman"/>
          <w:szCs w:val="24"/>
        </w:rPr>
      </w:pPr>
    </w:p>
    <w:p w:rsidR="00A418CA" w:rsidRDefault="00A418CA" w:rsidP="00A418CA">
      <w:pPr>
        <w:spacing w:after="0" w:line="240" w:lineRule="auto"/>
        <w:ind w:left="2160"/>
        <w:jc w:val="both"/>
        <w:rPr>
          <w:rFonts w:eastAsia="Times New Roman" w:cs="Times New Roman"/>
          <w:szCs w:val="24"/>
        </w:rPr>
      </w:pPr>
      <w:r>
        <w:rPr>
          <w:rFonts w:eastAsia="Times New Roman" w:cs="Times New Roman"/>
          <w:szCs w:val="24"/>
        </w:rPr>
        <w:t xml:space="preserve">(4) a judge of a municipal court of record who is an attorney licensed by this state; or </w:t>
      </w:r>
    </w:p>
    <w:p w:rsidR="00A418CA" w:rsidRDefault="00A418CA" w:rsidP="00A418CA">
      <w:pPr>
        <w:spacing w:after="0" w:line="240" w:lineRule="auto"/>
        <w:ind w:left="2160"/>
        <w:jc w:val="both"/>
        <w:rPr>
          <w:rFonts w:eastAsia="Times New Roman" w:cs="Times New Roman"/>
          <w:szCs w:val="24"/>
        </w:rPr>
      </w:pPr>
    </w:p>
    <w:p w:rsidR="00A418CA" w:rsidRDefault="00A418CA" w:rsidP="00A418CA">
      <w:pPr>
        <w:spacing w:after="0" w:line="240" w:lineRule="auto"/>
        <w:ind w:left="2160"/>
        <w:jc w:val="both"/>
        <w:rPr>
          <w:rFonts w:eastAsia="Times New Roman" w:cs="Times New Roman"/>
          <w:szCs w:val="24"/>
        </w:rPr>
      </w:pPr>
      <w:r>
        <w:rPr>
          <w:rFonts w:eastAsia="Times New Roman" w:cs="Times New Roman"/>
          <w:szCs w:val="24"/>
        </w:rPr>
        <w:t>(5) any magistrate if the county in which the warrant is issued does not have:</w:t>
      </w:r>
    </w:p>
    <w:p w:rsidR="00A418CA" w:rsidRDefault="00A418CA" w:rsidP="00A418CA">
      <w:pPr>
        <w:spacing w:after="0" w:line="240" w:lineRule="auto"/>
        <w:ind w:left="2160"/>
        <w:jc w:val="both"/>
        <w:rPr>
          <w:rFonts w:eastAsia="Times New Roman" w:cs="Times New Roman"/>
          <w:szCs w:val="24"/>
        </w:rPr>
      </w:pPr>
    </w:p>
    <w:p w:rsidR="00A418CA" w:rsidRDefault="00A418CA" w:rsidP="00A418CA">
      <w:pPr>
        <w:spacing w:after="0" w:line="240" w:lineRule="auto"/>
        <w:ind w:left="2880"/>
        <w:jc w:val="both"/>
        <w:rPr>
          <w:rFonts w:eastAsia="Times New Roman" w:cs="Times New Roman"/>
          <w:szCs w:val="24"/>
        </w:rPr>
      </w:pPr>
      <w:r>
        <w:rPr>
          <w:rFonts w:eastAsia="Times New Roman" w:cs="Times New Roman"/>
          <w:szCs w:val="24"/>
        </w:rPr>
        <w:t xml:space="preserve">(A) a municipal court of record with a courtroom located in that county and a judge who is an attorney licensed by this state; </w:t>
      </w:r>
    </w:p>
    <w:p w:rsidR="00A418CA" w:rsidRDefault="00A418CA" w:rsidP="00A418CA">
      <w:pPr>
        <w:spacing w:after="0" w:line="240" w:lineRule="auto"/>
        <w:ind w:left="2880"/>
        <w:jc w:val="both"/>
        <w:rPr>
          <w:rFonts w:eastAsia="Times New Roman" w:cs="Times New Roman"/>
          <w:szCs w:val="24"/>
        </w:rPr>
      </w:pPr>
    </w:p>
    <w:p w:rsidR="00A418CA" w:rsidRDefault="00A418CA" w:rsidP="00A418CA">
      <w:pPr>
        <w:spacing w:after="0" w:line="240" w:lineRule="auto"/>
        <w:ind w:left="2880"/>
        <w:jc w:val="both"/>
        <w:rPr>
          <w:rFonts w:eastAsia="Times New Roman" w:cs="Times New Roman"/>
          <w:szCs w:val="24"/>
        </w:rPr>
      </w:pPr>
      <w:r>
        <w:rPr>
          <w:rFonts w:eastAsia="Times New Roman" w:cs="Times New Roman"/>
          <w:szCs w:val="24"/>
        </w:rPr>
        <w:t>(B) a county court judge who is an attorney licensed by this state; or</w:t>
      </w:r>
    </w:p>
    <w:p w:rsidR="00A418CA" w:rsidRDefault="00A418CA" w:rsidP="00A418CA">
      <w:pPr>
        <w:spacing w:after="0" w:line="240" w:lineRule="auto"/>
        <w:ind w:left="2880"/>
        <w:jc w:val="both"/>
        <w:rPr>
          <w:rFonts w:eastAsia="Times New Roman" w:cs="Times New Roman"/>
          <w:szCs w:val="24"/>
        </w:rPr>
      </w:pPr>
    </w:p>
    <w:p w:rsidR="00A418CA" w:rsidRDefault="00A418CA" w:rsidP="00A418CA">
      <w:pPr>
        <w:spacing w:after="0" w:line="240" w:lineRule="auto"/>
        <w:ind w:left="2880"/>
        <w:jc w:val="both"/>
        <w:rPr>
          <w:rFonts w:eastAsia="Times New Roman" w:cs="Times New Roman"/>
          <w:szCs w:val="24"/>
        </w:rPr>
      </w:pPr>
      <w:r>
        <w:rPr>
          <w:rFonts w:eastAsia="Times New Roman" w:cs="Times New Roman"/>
          <w:szCs w:val="24"/>
        </w:rPr>
        <w:t>(C) a statutory county court judge.</w:t>
      </w:r>
    </w:p>
    <w:p w:rsidR="00A418CA" w:rsidRDefault="00A418CA" w:rsidP="00A418CA">
      <w:pPr>
        <w:spacing w:after="0" w:line="240" w:lineRule="auto"/>
        <w:ind w:left="2160"/>
        <w:jc w:val="both"/>
        <w:rPr>
          <w:rFonts w:eastAsia="Times New Roman" w:cs="Times New Roman"/>
          <w:szCs w:val="24"/>
        </w:rPr>
      </w:pPr>
    </w:p>
    <w:p w:rsidR="00A418CA" w:rsidRDefault="00A418CA" w:rsidP="00A418CA">
      <w:pPr>
        <w:spacing w:after="0" w:line="240" w:lineRule="auto"/>
        <w:ind w:left="1440"/>
        <w:jc w:val="both"/>
        <w:rPr>
          <w:rFonts w:eastAsia="Times New Roman" w:cs="Times New Roman"/>
          <w:szCs w:val="24"/>
        </w:rPr>
      </w:pPr>
      <w:r>
        <w:rPr>
          <w:rFonts w:eastAsia="Times New Roman" w:cs="Times New Roman"/>
          <w:szCs w:val="24"/>
        </w:rPr>
        <w:t>(c) Authorizes a magistrate to issue a warrant under Chapter 15 that authorizes a no-knock entry only if the complaint is submitted concurrently with a statement that approves the use of a no-knock entry and that is signed by the chief administrator of the law enforcement agency employing the affiant or by the chief administrator's designee.</w:t>
      </w:r>
    </w:p>
    <w:p w:rsidR="00A418CA" w:rsidRPr="003870FA" w:rsidRDefault="00A418CA" w:rsidP="00A418CA">
      <w:pPr>
        <w:spacing w:after="0" w:line="240" w:lineRule="auto"/>
        <w:ind w:left="1440"/>
        <w:jc w:val="both"/>
        <w:rPr>
          <w:rFonts w:cs="Times New Roman"/>
          <w:szCs w:val="24"/>
          <w:shd w:val="clear" w:color="auto" w:fill="FFFFFF"/>
        </w:rPr>
      </w:pPr>
    </w:p>
    <w:p w:rsidR="00A418CA" w:rsidRPr="003870FA" w:rsidRDefault="00A418CA" w:rsidP="00A418CA">
      <w:pPr>
        <w:spacing w:after="0" w:line="240" w:lineRule="auto"/>
        <w:jc w:val="both"/>
        <w:rPr>
          <w:rFonts w:eastAsia="Times New Roman" w:cs="Times New Roman"/>
          <w:szCs w:val="24"/>
        </w:rPr>
      </w:pPr>
      <w:r w:rsidRPr="003870FA">
        <w:rPr>
          <w:rFonts w:eastAsia="Times New Roman" w:cs="Times New Roman"/>
          <w:szCs w:val="24"/>
        </w:rPr>
        <w:t>SECTION 2. Amends Chapter 18, Code of Criminal Procedure, by adding Article 18.025, as follows:</w:t>
      </w:r>
    </w:p>
    <w:p w:rsidR="00A418CA" w:rsidRPr="003870FA" w:rsidRDefault="00A418CA" w:rsidP="00A418CA">
      <w:pPr>
        <w:spacing w:after="0" w:line="240" w:lineRule="auto"/>
        <w:jc w:val="both"/>
        <w:rPr>
          <w:rFonts w:eastAsia="Times New Roman" w:cs="Times New Roman"/>
          <w:szCs w:val="24"/>
        </w:rPr>
      </w:pPr>
    </w:p>
    <w:p w:rsidR="00A418CA" w:rsidRPr="003870FA" w:rsidRDefault="00A418CA" w:rsidP="00A418CA">
      <w:pPr>
        <w:spacing w:after="0" w:line="240" w:lineRule="auto"/>
        <w:ind w:left="720"/>
        <w:jc w:val="both"/>
        <w:rPr>
          <w:rFonts w:eastAsia="Times New Roman" w:cs="Times New Roman"/>
          <w:szCs w:val="24"/>
        </w:rPr>
      </w:pPr>
      <w:r w:rsidRPr="003870FA">
        <w:rPr>
          <w:rFonts w:eastAsia="Times New Roman" w:cs="Times New Roman"/>
          <w:szCs w:val="24"/>
        </w:rPr>
        <w:t>Art. 18.025.  NO-KNOCK WARRANT.  (a) "Defines "no-knock entry."</w:t>
      </w:r>
    </w:p>
    <w:p w:rsidR="00A418CA" w:rsidRPr="003870FA" w:rsidRDefault="00A418CA" w:rsidP="00A418CA">
      <w:pPr>
        <w:spacing w:after="0" w:line="240" w:lineRule="auto"/>
        <w:ind w:left="720"/>
        <w:jc w:val="both"/>
        <w:rPr>
          <w:rFonts w:eastAsia="Times New Roman" w:cs="Times New Roman"/>
          <w:szCs w:val="24"/>
        </w:rPr>
      </w:pPr>
    </w:p>
    <w:p w:rsidR="00A418CA" w:rsidRPr="003870FA" w:rsidRDefault="00A418CA" w:rsidP="00A418CA">
      <w:pPr>
        <w:spacing w:after="0" w:line="240" w:lineRule="auto"/>
        <w:ind w:left="1440"/>
        <w:jc w:val="both"/>
        <w:rPr>
          <w:rFonts w:cs="Times New Roman"/>
          <w:szCs w:val="24"/>
          <w:shd w:val="clear" w:color="auto" w:fill="FFFFFF"/>
        </w:rPr>
      </w:pPr>
      <w:r w:rsidRPr="003870FA">
        <w:rPr>
          <w:rFonts w:eastAsia="Times New Roman" w:cs="Times New Roman"/>
          <w:szCs w:val="24"/>
        </w:rPr>
        <w:t xml:space="preserve">(b) </w:t>
      </w:r>
      <w:r>
        <w:rPr>
          <w:rFonts w:eastAsia="Times New Roman" w:cs="Times New Roman"/>
          <w:szCs w:val="24"/>
        </w:rPr>
        <w:t xml:space="preserve">Provides that, notwithstanding any other law, only the following magistrates may issue a warrant under Chapter 18 </w:t>
      </w:r>
      <w:r>
        <w:rPr>
          <w:rFonts w:cs="Times New Roman"/>
          <w:szCs w:val="24"/>
          <w:shd w:val="clear" w:color="auto" w:fill="FFFFFF"/>
        </w:rPr>
        <w:t xml:space="preserve">(Search </w:t>
      </w:r>
      <w:r w:rsidRPr="003870FA">
        <w:rPr>
          <w:rFonts w:cs="Times New Roman"/>
          <w:szCs w:val="24"/>
          <w:shd w:val="clear" w:color="auto" w:fill="FFFFFF"/>
        </w:rPr>
        <w:t>Warrant</w:t>
      </w:r>
      <w:r>
        <w:rPr>
          <w:rFonts w:cs="Times New Roman"/>
          <w:szCs w:val="24"/>
          <w:shd w:val="clear" w:color="auto" w:fill="FFFFFF"/>
        </w:rPr>
        <w:t>s</w:t>
      </w:r>
      <w:r w:rsidRPr="003870FA">
        <w:rPr>
          <w:rFonts w:cs="Times New Roman"/>
          <w:szCs w:val="24"/>
          <w:shd w:val="clear" w:color="auto" w:fill="FFFFFF"/>
        </w:rPr>
        <w:t>) that authorizes a no-knock entry</w:t>
      </w:r>
      <w:r>
        <w:rPr>
          <w:rFonts w:cs="Times New Roman"/>
          <w:szCs w:val="24"/>
          <w:shd w:val="clear" w:color="auto" w:fill="FFFFFF"/>
        </w:rPr>
        <w:t>:</w:t>
      </w:r>
    </w:p>
    <w:p w:rsidR="00A418CA" w:rsidRPr="003870FA" w:rsidRDefault="00A418CA" w:rsidP="00A418CA">
      <w:pPr>
        <w:spacing w:after="0" w:line="240" w:lineRule="auto"/>
        <w:ind w:left="1440"/>
        <w:jc w:val="both"/>
        <w:rPr>
          <w:rFonts w:cs="Times New Roman"/>
          <w:szCs w:val="24"/>
          <w:shd w:val="clear" w:color="auto" w:fill="FFFFFF"/>
        </w:rPr>
      </w:pPr>
    </w:p>
    <w:p w:rsidR="00A418CA" w:rsidRDefault="00A418CA" w:rsidP="00A418CA">
      <w:pPr>
        <w:spacing w:after="0" w:line="240" w:lineRule="auto"/>
        <w:ind w:left="2160"/>
        <w:jc w:val="both"/>
        <w:rPr>
          <w:rFonts w:eastAsia="Times New Roman" w:cs="Times New Roman"/>
          <w:szCs w:val="24"/>
        </w:rPr>
      </w:pPr>
      <w:r>
        <w:rPr>
          <w:rFonts w:eastAsia="Times New Roman" w:cs="Times New Roman"/>
          <w:szCs w:val="24"/>
        </w:rPr>
        <w:t>(1) a district court judge;</w:t>
      </w:r>
    </w:p>
    <w:p w:rsidR="00A418CA" w:rsidRDefault="00A418CA" w:rsidP="00A418CA">
      <w:pPr>
        <w:spacing w:after="0" w:line="240" w:lineRule="auto"/>
        <w:ind w:left="2160"/>
        <w:jc w:val="both"/>
        <w:rPr>
          <w:rFonts w:eastAsia="Times New Roman" w:cs="Times New Roman"/>
          <w:szCs w:val="24"/>
        </w:rPr>
      </w:pPr>
    </w:p>
    <w:p w:rsidR="00A418CA" w:rsidRDefault="00A418CA" w:rsidP="00A418CA">
      <w:pPr>
        <w:spacing w:after="0" w:line="240" w:lineRule="auto"/>
        <w:ind w:left="2160"/>
        <w:jc w:val="both"/>
        <w:rPr>
          <w:rFonts w:eastAsia="Times New Roman" w:cs="Times New Roman"/>
          <w:szCs w:val="24"/>
        </w:rPr>
      </w:pPr>
      <w:r>
        <w:rPr>
          <w:rFonts w:eastAsia="Times New Roman" w:cs="Times New Roman"/>
          <w:szCs w:val="24"/>
        </w:rPr>
        <w:t>(2) a statutory county court judge;</w:t>
      </w:r>
    </w:p>
    <w:p w:rsidR="00A418CA" w:rsidRDefault="00A418CA" w:rsidP="00A418CA">
      <w:pPr>
        <w:spacing w:after="0" w:line="240" w:lineRule="auto"/>
        <w:ind w:left="2160"/>
        <w:jc w:val="both"/>
        <w:rPr>
          <w:rFonts w:eastAsia="Times New Roman" w:cs="Times New Roman"/>
          <w:szCs w:val="24"/>
        </w:rPr>
      </w:pPr>
    </w:p>
    <w:p w:rsidR="00A418CA" w:rsidRDefault="00A418CA" w:rsidP="00A418CA">
      <w:pPr>
        <w:spacing w:after="0" w:line="240" w:lineRule="auto"/>
        <w:ind w:left="2160"/>
        <w:jc w:val="both"/>
        <w:rPr>
          <w:rFonts w:eastAsia="Times New Roman" w:cs="Times New Roman"/>
          <w:szCs w:val="24"/>
        </w:rPr>
      </w:pPr>
      <w:r>
        <w:rPr>
          <w:rFonts w:eastAsia="Times New Roman" w:cs="Times New Roman"/>
          <w:szCs w:val="24"/>
        </w:rPr>
        <w:t>(3) a judge of a county court who is an attorney licensed by this state;</w:t>
      </w:r>
    </w:p>
    <w:p w:rsidR="00A418CA" w:rsidRDefault="00A418CA" w:rsidP="00A418CA">
      <w:pPr>
        <w:spacing w:after="0" w:line="240" w:lineRule="auto"/>
        <w:ind w:left="2160"/>
        <w:jc w:val="both"/>
        <w:rPr>
          <w:rFonts w:eastAsia="Times New Roman" w:cs="Times New Roman"/>
          <w:szCs w:val="24"/>
        </w:rPr>
      </w:pPr>
    </w:p>
    <w:p w:rsidR="00A418CA" w:rsidRDefault="00A418CA" w:rsidP="00A418CA">
      <w:pPr>
        <w:spacing w:after="0" w:line="240" w:lineRule="auto"/>
        <w:ind w:left="2160"/>
        <w:jc w:val="both"/>
        <w:rPr>
          <w:rFonts w:eastAsia="Times New Roman" w:cs="Times New Roman"/>
          <w:szCs w:val="24"/>
        </w:rPr>
      </w:pPr>
      <w:r>
        <w:rPr>
          <w:rFonts w:eastAsia="Times New Roman" w:cs="Times New Roman"/>
          <w:szCs w:val="24"/>
        </w:rPr>
        <w:t xml:space="preserve">(4) a judge of a municipal court of record who is an attorney licensed by this state; or </w:t>
      </w:r>
    </w:p>
    <w:p w:rsidR="00A418CA" w:rsidRDefault="00A418CA" w:rsidP="00A418CA">
      <w:pPr>
        <w:spacing w:after="0" w:line="240" w:lineRule="auto"/>
        <w:ind w:left="2160"/>
        <w:jc w:val="both"/>
        <w:rPr>
          <w:rFonts w:eastAsia="Times New Roman" w:cs="Times New Roman"/>
          <w:szCs w:val="24"/>
        </w:rPr>
      </w:pPr>
    </w:p>
    <w:p w:rsidR="00A418CA" w:rsidRDefault="00A418CA" w:rsidP="00A418CA">
      <w:pPr>
        <w:spacing w:after="0" w:line="240" w:lineRule="auto"/>
        <w:ind w:left="2160"/>
        <w:jc w:val="both"/>
        <w:rPr>
          <w:rFonts w:eastAsia="Times New Roman" w:cs="Times New Roman"/>
          <w:szCs w:val="24"/>
        </w:rPr>
      </w:pPr>
      <w:r>
        <w:rPr>
          <w:rFonts w:eastAsia="Times New Roman" w:cs="Times New Roman"/>
          <w:szCs w:val="24"/>
        </w:rPr>
        <w:t>(5) any magistrate if the county in which the warrant is issued does not have:</w:t>
      </w:r>
    </w:p>
    <w:p w:rsidR="00A418CA" w:rsidRDefault="00A418CA" w:rsidP="00A418CA">
      <w:pPr>
        <w:spacing w:after="0" w:line="240" w:lineRule="auto"/>
        <w:ind w:left="2160"/>
        <w:jc w:val="both"/>
        <w:rPr>
          <w:rFonts w:eastAsia="Times New Roman" w:cs="Times New Roman"/>
          <w:szCs w:val="24"/>
        </w:rPr>
      </w:pPr>
    </w:p>
    <w:p w:rsidR="00A418CA" w:rsidRDefault="00A418CA" w:rsidP="00A418CA">
      <w:pPr>
        <w:spacing w:after="0" w:line="240" w:lineRule="auto"/>
        <w:ind w:left="2880"/>
        <w:jc w:val="both"/>
        <w:rPr>
          <w:rFonts w:eastAsia="Times New Roman" w:cs="Times New Roman"/>
          <w:szCs w:val="24"/>
        </w:rPr>
      </w:pPr>
      <w:r>
        <w:rPr>
          <w:rFonts w:eastAsia="Times New Roman" w:cs="Times New Roman"/>
          <w:szCs w:val="24"/>
        </w:rPr>
        <w:t xml:space="preserve">(A) a municipal court of record with a courtroom located in that county and a judge who is an attorney licensed by this state; </w:t>
      </w:r>
    </w:p>
    <w:p w:rsidR="00A418CA" w:rsidRDefault="00A418CA" w:rsidP="00A418CA">
      <w:pPr>
        <w:spacing w:after="0" w:line="240" w:lineRule="auto"/>
        <w:ind w:left="2880"/>
        <w:jc w:val="both"/>
        <w:rPr>
          <w:rFonts w:eastAsia="Times New Roman" w:cs="Times New Roman"/>
          <w:szCs w:val="24"/>
        </w:rPr>
      </w:pPr>
    </w:p>
    <w:p w:rsidR="00A418CA" w:rsidRDefault="00A418CA" w:rsidP="00A418CA">
      <w:pPr>
        <w:spacing w:after="0" w:line="240" w:lineRule="auto"/>
        <w:ind w:left="2880"/>
        <w:jc w:val="both"/>
        <w:rPr>
          <w:rFonts w:eastAsia="Times New Roman" w:cs="Times New Roman"/>
          <w:szCs w:val="24"/>
        </w:rPr>
      </w:pPr>
      <w:r>
        <w:rPr>
          <w:rFonts w:eastAsia="Times New Roman" w:cs="Times New Roman"/>
          <w:szCs w:val="24"/>
        </w:rPr>
        <w:t>(B) a county court judge who is an attorney licensed by this state; or</w:t>
      </w:r>
    </w:p>
    <w:p w:rsidR="00A418CA" w:rsidRDefault="00A418CA" w:rsidP="00A418CA">
      <w:pPr>
        <w:spacing w:after="0" w:line="240" w:lineRule="auto"/>
        <w:ind w:left="2880"/>
        <w:jc w:val="both"/>
        <w:rPr>
          <w:rFonts w:eastAsia="Times New Roman" w:cs="Times New Roman"/>
          <w:szCs w:val="24"/>
        </w:rPr>
      </w:pPr>
    </w:p>
    <w:p w:rsidR="00A418CA" w:rsidRDefault="00A418CA" w:rsidP="00A418CA">
      <w:pPr>
        <w:spacing w:after="0" w:line="240" w:lineRule="auto"/>
        <w:ind w:left="2880"/>
        <w:jc w:val="both"/>
        <w:rPr>
          <w:rFonts w:eastAsia="Times New Roman" w:cs="Times New Roman"/>
          <w:szCs w:val="24"/>
        </w:rPr>
      </w:pPr>
      <w:r>
        <w:rPr>
          <w:rFonts w:eastAsia="Times New Roman" w:cs="Times New Roman"/>
          <w:szCs w:val="24"/>
        </w:rPr>
        <w:t>(C) a statutory county court judge.</w:t>
      </w:r>
    </w:p>
    <w:p w:rsidR="00A418CA" w:rsidRDefault="00A418CA" w:rsidP="00A418CA">
      <w:pPr>
        <w:spacing w:after="0" w:line="240" w:lineRule="auto"/>
        <w:ind w:left="2160"/>
        <w:jc w:val="both"/>
        <w:rPr>
          <w:rFonts w:eastAsia="Times New Roman" w:cs="Times New Roman"/>
          <w:szCs w:val="24"/>
        </w:rPr>
      </w:pPr>
    </w:p>
    <w:p w:rsidR="00A418CA" w:rsidRDefault="00A418CA" w:rsidP="00A418CA">
      <w:pPr>
        <w:spacing w:after="0" w:line="240" w:lineRule="auto"/>
        <w:ind w:left="1440"/>
        <w:jc w:val="both"/>
        <w:rPr>
          <w:rFonts w:eastAsia="Times New Roman" w:cs="Times New Roman"/>
          <w:szCs w:val="24"/>
        </w:rPr>
      </w:pPr>
      <w:r>
        <w:rPr>
          <w:rFonts w:eastAsia="Times New Roman" w:cs="Times New Roman"/>
          <w:szCs w:val="24"/>
        </w:rPr>
        <w:t xml:space="preserve">(c) Authorizes a magistrate to issue a warrant under Chapter 18 that authorizes a no-knock entry only if the affidavit under Article 18.01(b) (relating to the </w:t>
      </w:r>
      <w:r w:rsidRPr="007F1643">
        <w:rPr>
          <w:rFonts w:eastAsia="Times New Roman" w:cs="Times New Roman"/>
          <w:szCs w:val="24"/>
        </w:rPr>
        <w:t>sworn affidavit setting forth substantial facts establishing probable cause</w:t>
      </w:r>
      <w:r>
        <w:rPr>
          <w:rFonts w:eastAsia="Times New Roman" w:cs="Times New Roman"/>
          <w:szCs w:val="24"/>
        </w:rPr>
        <w:t>) is submitted concurrently with a statement that approves the use of a no-knock entry and that is signed by the chief administrator of the law enforcement agency employing the affiant or by the chief administrator's designee.</w:t>
      </w:r>
    </w:p>
    <w:p w:rsidR="00A418CA" w:rsidRDefault="00A418CA" w:rsidP="00A418CA">
      <w:pPr>
        <w:spacing w:after="0" w:line="240" w:lineRule="auto"/>
        <w:ind w:left="1440"/>
        <w:jc w:val="both"/>
        <w:rPr>
          <w:rFonts w:ascii="Consolas" w:hAnsi="Consolas"/>
          <w:color w:val="333333"/>
          <w:sz w:val="20"/>
          <w:szCs w:val="20"/>
          <w:u w:val="single"/>
          <w:shd w:val="clear" w:color="auto" w:fill="FFFFFF"/>
        </w:rPr>
      </w:pPr>
    </w:p>
    <w:p w:rsidR="00A418CA" w:rsidRDefault="00A418CA" w:rsidP="00A418CA">
      <w:pPr>
        <w:spacing w:after="0" w:line="240" w:lineRule="auto"/>
        <w:jc w:val="both"/>
        <w:rPr>
          <w:rFonts w:eastAsia="Times New Roman" w:cs="Times New Roman"/>
          <w:szCs w:val="24"/>
        </w:rPr>
      </w:pPr>
      <w:r>
        <w:rPr>
          <w:rFonts w:eastAsia="Times New Roman" w:cs="Times New Roman"/>
          <w:szCs w:val="24"/>
        </w:rPr>
        <w:t>SECTION 3. Makes application of this Act prospective.</w:t>
      </w:r>
    </w:p>
    <w:p w:rsidR="00A418CA" w:rsidRDefault="00A418CA" w:rsidP="00A418CA">
      <w:pPr>
        <w:spacing w:after="0" w:line="240" w:lineRule="auto"/>
        <w:jc w:val="both"/>
        <w:rPr>
          <w:rFonts w:eastAsia="Times New Roman" w:cs="Times New Roman"/>
          <w:szCs w:val="24"/>
        </w:rPr>
      </w:pPr>
    </w:p>
    <w:p w:rsidR="00A418CA" w:rsidRPr="003870FA" w:rsidRDefault="00A418CA" w:rsidP="00A418CA">
      <w:pPr>
        <w:spacing w:after="0" w:line="240" w:lineRule="auto"/>
        <w:jc w:val="both"/>
        <w:rPr>
          <w:rFonts w:ascii="Consolas" w:hAnsi="Consolas"/>
          <w:color w:val="333333"/>
          <w:sz w:val="20"/>
          <w:szCs w:val="20"/>
          <w:u w:val="single"/>
          <w:shd w:val="clear" w:color="auto" w:fill="FFFFFF"/>
        </w:rPr>
      </w:pPr>
      <w:r>
        <w:rPr>
          <w:rFonts w:eastAsia="Times New Roman" w:cs="Times New Roman"/>
          <w:szCs w:val="24"/>
        </w:rPr>
        <w:t>SECTION 4. Effective date: September 1, 2021.</w:t>
      </w:r>
    </w:p>
    <w:sectPr w:rsidR="00A418CA" w:rsidRPr="003870FA"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872" w:rsidRDefault="00AD6872" w:rsidP="000F1DF9">
      <w:pPr>
        <w:spacing w:after="0" w:line="240" w:lineRule="auto"/>
      </w:pPr>
      <w:r>
        <w:separator/>
      </w:r>
    </w:p>
  </w:endnote>
  <w:endnote w:type="continuationSeparator" w:id="0">
    <w:p w:rsidR="00AD6872" w:rsidRDefault="00AD68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D68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howingPlcHdr/>
            </w:sdtPr>
            <w:sdtEndP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418CA">
                <w:rPr>
                  <w:sz w:val="20"/>
                  <w:szCs w:val="20"/>
                </w:rPr>
                <w:t>C.S.H.B. 492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418C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D68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872" w:rsidRDefault="00AD6872" w:rsidP="000F1DF9">
      <w:pPr>
        <w:spacing w:after="0" w:line="240" w:lineRule="auto"/>
      </w:pPr>
      <w:r>
        <w:separator/>
      </w:r>
    </w:p>
  </w:footnote>
  <w:footnote w:type="continuationSeparator" w:id="0">
    <w:p w:rsidR="00AD6872" w:rsidRDefault="00AD687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418CA"/>
    <w:rsid w:val="00AD687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42FC2C-E723-4A57-B48E-3D52ED57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418C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6AEA4DE5908486E8DB196B1020F119B"/>
        <w:category>
          <w:name w:val="General"/>
          <w:gallery w:val="placeholder"/>
        </w:category>
        <w:types>
          <w:type w:val="bbPlcHdr"/>
        </w:types>
        <w:behaviors>
          <w:behavior w:val="content"/>
        </w:behaviors>
        <w:guid w:val="{4F837620-CEE0-4C95-B0F4-105ECEF14A6B}"/>
      </w:docPartPr>
      <w:docPartBody>
        <w:p w:rsidR="00000000" w:rsidRDefault="00246EC1"/>
      </w:docPartBody>
    </w:docPart>
    <w:docPart>
      <w:docPartPr>
        <w:name w:val="35F7CE71F59048C0970B254F8B36E841"/>
        <w:category>
          <w:name w:val="General"/>
          <w:gallery w:val="placeholder"/>
        </w:category>
        <w:types>
          <w:type w:val="bbPlcHdr"/>
        </w:types>
        <w:behaviors>
          <w:behavior w:val="content"/>
        </w:behaviors>
        <w:guid w:val="{D6F658C1-F278-4D3B-A30D-DDCCE42C4616}"/>
      </w:docPartPr>
      <w:docPartBody>
        <w:p w:rsidR="00000000" w:rsidRDefault="00246EC1"/>
      </w:docPartBody>
    </w:docPart>
    <w:docPart>
      <w:docPartPr>
        <w:name w:val="38DFFC402F604CC98EDBCF6FF6152A2A"/>
        <w:category>
          <w:name w:val="General"/>
          <w:gallery w:val="placeholder"/>
        </w:category>
        <w:types>
          <w:type w:val="bbPlcHdr"/>
        </w:types>
        <w:behaviors>
          <w:behavior w:val="content"/>
        </w:behaviors>
        <w:guid w:val="{5B9E06D2-9388-4E78-9EB8-F9580880798C}"/>
      </w:docPartPr>
      <w:docPartBody>
        <w:p w:rsidR="00000000" w:rsidRDefault="00246EC1"/>
      </w:docPartBody>
    </w:docPart>
    <w:docPart>
      <w:docPartPr>
        <w:name w:val="554BBD66ED784B8D88F6352EC8A70CEB"/>
        <w:category>
          <w:name w:val="General"/>
          <w:gallery w:val="placeholder"/>
        </w:category>
        <w:types>
          <w:type w:val="bbPlcHdr"/>
        </w:types>
        <w:behaviors>
          <w:behavior w:val="content"/>
        </w:behaviors>
        <w:guid w:val="{7B12299F-D3B1-451D-9C04-AB76364953C1}"/>
      </w:docPartPr>
      <w:docPartBody>
        <w:p w:rsidR="00000000" w:rsidRDefault="00246EC1"/>
      </w:docPartBody>
    </w:docPart>
    <w:docPart>
      <w:docPartPr>
        <w:name w:val="0CC4DA2D8C0E4118957A6A6C887E76CC"/>
        <w:category>
          <w:name w:val="General"/>
          <w:gallery w:val="placeholder"/>
        </w:category>
        <w:types>
          <w:type w:val="bbPlcHdr"/>
        </w:types>
        <w:behaviors>
          <w:behavior w:val="content"/>
        </w:behaviors>
        <w:guid w:val="{FAF507EC-0FF6-4B56-8CA2-54DF2739BDE7}"/>
      </w:docPartPr>
      <w:docPartBody>
        <w:p w:rsidR="00000000" w:rsidRDefault="00246EC1"/>
      </w:docPartBody>
    </w:docPart>
    <w:docPart>
      <w:docPartPr>
        <w:name w:val="C2F08E836F6540E2997AE8B625A8AB1F"/>
        <w:category>
          <w:name w:val="General"/>
          <w:gallery w:val="placeholder"/>
        </w:category>
        <w:types>
          <w:type w:val="bbPlcHdr"/>
        </w:types>
        <w:behaviors>
          <w:behavior w:val="content"/>
        </w:behaviors>
        <w:guid w:val="{8D3E1957-9AF6-4F5F-81F0-1252AC4D268F}"/>
      </w:docPartPr>
      <w:docPartBody>
        <w:p w:rsidR="00000000" w:rsidRDefault="00246EC1"/>
      </w:docPartBody>
    </w:docPart>
    <w:docPart>
      <w:docPartPr>
        <w:name w:val="49226E850D37403F9B8A72C23867E727"/>
        <w:category>
          <w:name w:val="General"/>
          <w:gallery w:val="placeholder"/>
        </w:category>
        <w:types>
          <w:type w:val="bbPlcHdr"/>
        </w:types>
        <w:behaviors>
          <w:behavior w:val="content"/>
        </w:behaviors>
        <w:guid w:val="{99BE3B4E-C8E9-4E95-8BD4-47C497EFD8DF}"/>
      </w:docPartPr>
      <w:docPartBody>
        <w:p w:rsidR="00000000" w:rsidRDefault="00246EC1"/>
      </w:docPartBody>
    </w:docPart>
    <w:docPart>
      <w:docPartPr>
        <w:name w:val="ABBDD64B224247298FDAE03DAC4C4436"/>
        <w:category>
          <w:name w:val="General"/>
          <w:gallery w:val="placeholder"/>
        </w:category>
        <w:types>
          <w:type w:val="bbPlcHdr"/>
        </w:types>
        <w:behaviors>
          <w:behavior w:val="content"/>
        </w:behaviors>
        <w:guid w:val="{8C600515-CA02-40B7-9A41-553E76C9E693}"/>
      </w:docPartPr>
      <w:docPartBody>
        <w:p w:rsidR="00000000" w:rsidRDefault="00246EC1"/>
      </w:docPartBody>
    </w:docPart>
    <w:docPart>
      <w:docPartPr>
        <w:name w:val="78187BBD37F84A3F8ECB6C7CC950C147"/>
        <w:category>
          <w:name w:val="General"/>
          <w:gallery w:val="placeholder"/>
        </w:category>
        <w:types>
          <w:type w:val="bbPlcHdr"/>
        </w:types>
        <w:behaviors>
          <w:behavior w:val="content"/>
        </w:behaviors>
        <w:guid w:val="{F2ADC4D8-2F65-466C-8401-95F36F5B5F40}"/>
      </w:docPartPr>
      <w:docPartBody>
        <w:p w:rsidR="00000000" w:rsidRDefault="00246EC1"/>
      </w:docPartBody>
    </w:docPart>
    <w:docPart>
      <w:docPartPr>
        <w:name w:val="83E681D0E6D54B9F9A0BC77AC433E795"/>
        <w:category>
          <w:name w:val="General"/>
          <w:gallery w:val="placeholder"/>
        </w:category>
        <w:types>
          <w:type w:val="bbPlcHdr"/>
        </w:types>
        <w:behaviors>
          <w:behavior w:val="content"/>
        </w:behaviors>
        <w:guid w:val="{3C6F704C-C9B1-4134-A960-3BB3A513E934}"/>
      </w:docPartPr>
      <w:docPartBody>
        <w:p w:rsidR="00000000" w:rsidRDefault="00FE0808" w:rsidP="00FE0808">
          <w:pPr>
            <w:pStyle w:val="83E681D0E6D54B9F9A0BC77AC433E795"/>
          </w:pPr>
          <w:r w:rsidRPr="00A30DD1">
            <w:rPr>
              <w:rStyle w:val="PlaceholderText"/>
            </w:rPr>
            <w:t>Click here to enter a date.</w:t>
          </w:r>
        </w:p>
      </w:docPartBody>
    </w:docPart>
    <w:docPart>
      <w:docPartPr>
        <w:name w:val="FE19D1238F8D4590B1FD7E1F67615D3B"/>
        <w:category>
          <w:name w:val="General"/>
          <w:gallery w:val="placeholder"/>
        </w:category>
        <w:types>
          <w:type w:val="bbPlcHdr"/>
        </w:types>
        <w:behaviors>
          <w:behavior w:val="content"/>
        </w:behaviors>
        <w:guid w:val="{0DCF0FC3-EECC-43D4-ABD0-E7B1C059B1FC}"/>
      </w:docPartPr>
      <w:docPartBody>
        <w:p w:rsidR="00000000" w:rsidRDefault="00246EC1"/>
      </w:docPartBody>
    </w:docPart>
    <w:docPart>
      <w:docPartPr>
        <w:name w:val="F0FB4DC0AFB14468929FF165406ED985"/>
        <w:category>
          <w:name w:val="General"/>
          <w:gallery w:val="placeholder"/>
        </w:category>
        <w:types>
          <w:type w:val="bbPlcHdr"/>
        </w:types>
        <w:behaviors>
          <w:behavior w:val="content"/>
        </w:behaviors>
        <w:guid w:val="{5FF99CA2-7C00-4270-B419-43D2C56552CF}"/>
      </w:docPartPr>
      <w:docPartBody>
        <w:p w:rsidR="00000000" w:rsidRDefault="00246EC1"/>
      </w:docPartBody>
    </w:docPart>
    <w:docPart>
      <w:docPartPr>
        <w:name w:val="4DDBADD44635495AAA16B5078825F237"/>
        <w:category>
          <w:name w:val="General"/>
          <w:gallery w:val="placeholder"/>
        </w:category>
        <w:types>
          <w:type w:val="bbPlcHdr"/>
        </w:types>
        <w:behaviors>
          <w:behavior w:val="content"/>
        </w:behaviors>
        <w:guid w:val="{F4866825-9753-4139-AB76-49FC8E2CCF81}"/>
      </w:docPartPr>
      <w:docPartBody>
        <w:p w:rsidR="00000000" w:rsidRDefault="00FE0808" w:rsidP="00FE0808">
          <w:pPr>
            <w:pStyle w:val="4DDBADD44635495AAA16B5078825F237"/>
          </w:pPr>
          <w:r>
            <w:rPr>
              <w:rFonts w:eastAsia="Times New Roman" w:cs="Times New Roman"/>
              <w:bCs/>
              <w:szCs w:val="24"/>
            </w:rPr>
            <w:t xml:space="preserve"> </w:t>
          </w:r>
        </w:p>
      </w:docPartBody>
    </w:docPart>
    <w:docPart>
      <w:docPartPr>
        <w:name w:val="A58D5014CFE44D72918162BCAB25DC2A"/>
        <w:category>
          <w:name w:val="General"/>
          <w:gallery w:val="placeholder"/>
        </w:category>
        <w:types>
          <w:type w:val="bbPlcHdr"/>
        </w:types>
        <w:behaviors>
          <w:behavior w:val="content"/>
        </w:behaviors>
        <w:guid w:val="{81D258EA-010F-444F-9808-2EC5BE250181}"/>
      </w:docPartPr>
      <w:docPartBody>
        <w:p w:rsidR="00000000" w:rsidRDefault="00246EC1"/>
      </w:docPartBody>
    </w:docPart>
    <w:docPart>
      <w:docPartPr>
        <w:name w:val="6146B415FAFC488F9C00A25B18D07130"/>
        <w:category>
          <w:name w:val="General"/>
          <w:gallery w:val="placeholder"/>
        </w:category>
        <w:types>
          <w:type w:val="bbPlcHdr"/>
        </w:types>
        <w:behaviors>
          <w:behavior w:val="content"/>
        </w:behaviors>
        <w:guid w:val="{B5606F91-B97D-4D70-B45F-3625B4A3CAAB}"/>
      </w:docPartPr>
      <w:docPartBody>
        <w:p w:rsidR="00000000" w:rsidRDefault="00246E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46EC1"/>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E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08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3E681D0E6D54B9F9A0BC77AC433E795">
    <w:name w:val="83E681D0E6D54B9F9A0BC77AC433E795"/>
    <w:rsid w:val="00FE0808"/>
    <w:pPr>
      <w:spacing w:after="160" w:line="259" w:lineRule="auto"/>
    </w:pPr>
  </w:style>
  <w:style w:type="paragraph" w:customStyle="1" w:styleId="4DDBADD44635495AAA16B5078825F237">
    <w:name w:val="4DDBADD44635495AAA16B5078825F237"/>
    <w:rsid w:val="00FE08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B1E6E76-A515-42DF-9C8E-E048C5A8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695</Words>
  <Characters>3964</Characters>
  <Application>Microsoft Office Word</Application>
  <DocSecurity>0</DocSecurity>
  <Lines>33</Lines>
  <Paragraphs>9</Paragraphs>
  <ScaleCrop>false</ScaleCrop>
  <Company>Texas Legislative Council</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2021-05-23T00:14:00Z</dcterms:modified>
</cp:coreProperties>
</file>

<file path=docProps/custom.xml><?xml version="1.0" encoding="utf-8"?>
<op:Properties xmlns:vt="http://schemas.openxmlformats.org/officeDocument/2006/docPropsVTypes" xmlns:op="http://schemas.openxmlformats.org/officeDocument/2006/custom-properties"/>
</file>