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45" w:rsidRDefault="00AB564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1AF745314ED4FF99F75924E8C32D50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B5645" w:rsidRPr="00585C31" w:rsidRDefault="00AB5645" w:rsidP="000F1DF9">
      <w:pPr>
        <w:spacing w:after="0" w:line="240" w:lineRule="auto"/>
        <w:rPr>
          <w:rFonts w:cs="Times New Roman"/>
          <w:szCs w:val="24"/>
        </w:rPr>
      </w:pPr>
    </w:p>
    <w:p w:rsidR="00AB5645" w:rsidRPr="00585C31" w:rsidRDefault="00AB564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B5645" w:rsidTr="000F1DF9">
        <w:tc>
          <w:tcPr>
            <w:tcW w:w="2718" w:type="dxa"/>
          </w:tcPr>
          <w:p w:rsidR="00AB5645" w:rsidRPr="005C2A78" w:rsidRDefault="00AB564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C81E1E232E9406BB277989AF3317F1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B5645" w:rsidRPr="00FF6471" w:rsidRDefault="00AB564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8034F39D61F4CD8BE1967FE8F50D16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574</w:t>
                </w:r>
              </w:sdtContent>
            </w:sdt>
          </w:p>
        </w:tc>
      </w:tr>
      <w:tr w:rsidR="00AB5645" w:rsidTr="00166183">
        <w:trPr>
          <w:trHeight w:val="342"/>
        </w:trPr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E34CF5FD6744A9D872838D6E3F8E7A7"/>
            </w:placeholder>
            <w:showingPlcHdr/>
          </w:sdtPr>
          <w:sdtContent>
            <w:tc>
              <w:tcPr>
                <w:tcW w:w="2718" w:type="dxa"/>
              </w:tcPr>
              <w:p w:rsidR="00AB5645" w:rsidRPr="000F1DF9" w:rsidRDefault="00AB5645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AB5645" w:rsidRPr="005C2A78" w:rsidRDefault="00AB5645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F9BC37BC46B46B187074333D20BCE6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3FBED524C8C46DAB99A3B13FD92E2D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Bonnen; Goldman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CB93E675B8D4B5A89416698777D043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(Taylor)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11BBE60CFD4F40A9A2258B9845D9FA33"/>
                </w:placeholder>
                <w:showingPlcHdr/>
              </w:sdtPr>
              <w:sdtContent/>
            </w:sdt>
          </w:p>
        </w:tc>
      </w:tr>
      <w:tr w:rsidR="00AB5645" w:rsidTr="000F1DF9">
        <w:tc>
          <w:tcPr>
            <w:tcW w:w="2718" w:type="dxa"/>
          </w:tcPr>
          <w:p w:rsidR="00AB5645" w:rsidRPr="00BC7495" w:rsidRDefault="00AB564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E75A08F53AC403A8D83F3E998AA2617"/>
            </w:placeholder>
          </w:sdtPr>
          <w:sdtContent>
            <w:tc>
              <w:tcPr>
                <w:tcW w:w="6858" w:type="dxa"/>
              </w:tcPr>
              <w:p w:rsidR="00AB5645" w:rsidRPr="00FF6471" w:rsidRDefault="00AB564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AB5645" w:rsidTr="000F1DF9">
        <w:tc>
          <w:tcPr>
            <w:tcW w:w="2718" w:type="dxa"/>
          </w:tcPr>
          <w:p w:rsidR="00AB5645" w:rsidRPr="00BC7495" w:rsidRDefault="00AB564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73A91F787334470986ED95A790E97D6"/>
            </w:placeholder>
            <w:date w:fullDate="2021-04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B5645" w:rsidRPr="00FF6471" w:rsidRDefault="00AB564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4/28/2021</w:t>
                </w:r>
              </w:p>
            </w:tc>
          </w:sdtContent>
        </w:sdt>
      </w:tr>
      <w:tr w:rsidR="00AB5645" w:rsidTr="000F1DF9">
        <w:tc>
          <w:tcPr>
            <w:tcW w:w="2718" w:type="dxa"/>
          </w:tcPr>
          <w:p w:rsidR="00AB5645" w:rsidRPr="00BC7495" w:rsidRDefault="00AB564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BB518CFDE5F469B9FEA17EE28FCEC66"/>
            </w:placeholder>
          </w:sdtPr>
          <w:sdtContent>
            <w:tc>
              <w:tcPr>
                <w:tcW w:w="6858" w:type="dxa"/>
              </w:tcPr>
              <w:p w:rsidR="00AB5645" w:rsidRPr="00FF6471" w:rsidRDefault="00AB564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B5645" w:rsidRPr="00FF6471" w:rsidRDefault="00AB5645" w:rsidP="000F1DF9">
      <w:pPr>
        <w:spacing w:after="0" w:line="240" w:lineRule="auto"/>
        <w:rPr>
          <w:rFonts w:cs="Times New Roman"/>
          <w:szCs w:val="24"/>
        </w:rPr>
      </w:pPr>
    </w:p>
    <w:p w:rsidR="00AB5645" w:rsidRPr="00FF6471" w:rsidRDefault="00AB5645" w:rsidP="000F1DF9">
      <w:pPr>
        <w:spacing w:after="0" w:line="240" w:lineRule="auto"/>
        <w:rPr>
          <w:rFonts w:cs="Times New Roman"/>
          <w:szCs w:val="24"/>
        </w:rPr>
      </w:pPr>
    </w:p>
    <w:p w:rsidR="00AB5645" w:rsidRPr="00FF6471" w:rsidRDefault="00AB564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D6ECB58883045C0938E9E4611A386C5"/>
        </w:placeholder>
      </w:sdtPr>
      <w:sdtContent>
        <w:p w:rsidR="00AB5645" w:rsidRDefault="00AB564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694B96F467E43E0AB2506E35404E475"/>
        </w:placeholder>
      </w:sdtPr>
      <w:sdtEndPr>
        <w:rPr>
          <w:rFonts w:cs="Times New Roman"/>
          <w:szCs w:val="24"/>
        </w:rPr>
      </w:sdtEndPr>
      <w:sdtContent>
        <w:p w:rsidR="00AB5645" w:rsidRDefault="00AB5645" w:rsidP="00AB5645">
          <w:pPr>
            <w:pStyle w:val="NormalWeb"/>
            <w:spacing w:before="0" w:beforeAutospacing="0" w:after="0" w:afterAutospacing="0"/>
            <w:jc w:val="both"/>
            <w:divId w:val="2000689289"/>
            <w:rPr>
              <w:rFonts w:eastAsia="Times New Roman"/>
              <w:bCs/>
            </w:rPr>
          </w:pPr>
        </w:p>
        <w:p w:rsidR="00AB5645" w:rsidRPr="00CC3E19" w:rsidRDefault="00AB5645" w:rsidP="00AB5645">
          <w:pPr>
            <w:pStyle w:val="NormalWeb"/>
            <w:spacing w:before="0" w:beforeAutospacing="0" w:after="0" w:afterAutospacing="0"/>
            <w:jc w:val="both"/>
            <w:divId w:val="2000689289"/>
          </w:pPr>
          <w:r w:rsidRPr="00CC3E19">
            <w:t>Legislation enacted by the 85th Legislature sought to root out election fraud in Texas by codifying conduct constituting an election fraud offense, such as unlawfully influencing a voter, casting a ballot under false pretenses, and lying to an election official. There have been calls to further expand the conduct that constitutes election fraud to ensure elections in Texas rem</w:t>
          </w:r>
          <w:r>
            <w:t xml:space="preserve">ain fair and free of fraud. </w:t>
          </w:r>
          <w:r w:rsidRPr="00CC3E19">
            <w:t>H.B. 574 seeks to address this issue by expanding the conduct that constitutes election fraud and by increasing the penalty for an election fraud offense.</w:t>
          </w:r>
        </w:p>
        <w:p w:rsidR="00AB5645" w:rsidRPr="00AB5645" w:rsidRDefault="00AB5645" w:rsidP="00AB5645">
          <w:pPr>
            <w:pStyle w:val="NormalWeb"/>
            <w:spacing w:before="0" w:beforeAutospacing="0" w:after="0" w:afterAutospacing="0"/>
            <w:jc w:val="both"/>
            <w:divId w:val="2000689289"/>
          </w:pPr>
          <w:r w:rsidRPr="00CC3E19">
            <w:t> </w:t>
          </w:r>
        </w:p>
      </w:sdtContent>
    </w:sdt>
    <w:p w:rsidR="00AB5645" w:rsidRPr="00270965" w:rsidRDefault="00AB56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574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elements of the criminal offense of election fraud and increases criminal penalties.</w:t>
      </w:r>
    </w:p>
    <w:p w:rsidR="00AB5645" w:rsidRPr="00166183" w:rsidRDefault="00AB56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B5645" w:rsidRPr="005C2A78" w:rsidRDefault="00AB564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4658844700D463FA5346279D9C774A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B5645" w:rsidRPr="006529C4" w:rsidRDefault="00AB564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B5645" w:rsidRPr="006529C4" w:rsidRDefault="00AB564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B5645" w:rsidRPr="006529C4" w:rsidRDefault="00AB564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B5645" w:rsidRPr="005C2A78" w:rsidRDefault="00AB564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7A846EB10E0469EB14AA8F247B3548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B5645" w:rsidRPr="005C2A78" w:rsidRDefault="00AB56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B5645" w:rsidRPr="00902552" w:rsidRDefault="00AB5645" w:rsidP="00AB5645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02552">
        <w:rPr>
          <w:rFonts w:eastAsia="Times New Roman" w:cs="Times New Roman"/>
          <w:szCs w:val="24"/>
        </w:rPr>
        <w:t>Sections 276.013(a) and (b), Election Code, as follows:</w:t>
      </w:r>
    </w:p>
    <w:p w:rsidR="00AB5645" w:rsidRDefault="00AB5645" w:rsidP="00AB5645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</w:t>
      </w:r>
      <w:r w:rsidRPr="0090255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Provides that a</w:t>
      </w:r>
      <w:r w:rsidRPr="00902552">
        <w:rPr>
          <w:rFonts w:eastAsia="Times New Roman" w:cs="Times New Roman"/>
          <w:szCs w:val="24"/>
        </w:rPr>
        <w:t xml:space="preserve"> person commits an offense if the person knowingly or intentionally makes any effort to</w:t>
      </w:r>
      <w:r>
        <w:rPr>
          <w:rFonts w:eastAsia="Times New Roman" w:cs="Times New Roman"/>
          <w:szCs w:val="24"/>
        </w:rPr>
        <w:t>, among other actions,</w:t>
      </w:r>
      <w:r w:rsidRPr="00902552">
        <w:rPr>
          <w:rFonts w:eastAsia="Times New Roman" w:cs="Times New Roman"/>
          <w:szCs w:val="24"/>
        </w:rPr>
        <w:t xml:space="preserve"> count invalid votes </w:t>
      </w:r>
      <w:r>
        <w:rPr>
          <w:rFonts w:eastAsia="Times New Roman" w:cs="Times New Roman"/>
          <w:szCs w:val="24"/>
        </w:rPr>
        <w:t xml:space="preserve">that the person knows to be invalid, </w:t>
      </w:r>
      <w:r w:rsidRPr="00902552">
        <w:rPr>
          <w:rFonts w:eastAsia="Times New Roman" w:cs="Times New Roman"/>
          <w:szCs w:val="24"/>
        </w:rPr>
        <w:t>or alter a report to include in</w:t>
      </w:r>
      <w:r>
        <w:rPr>
          <w:rFonts w:eastAsia="Times New Roman" w:cs="Times New Roman"/>
          <w:szCs w:val="24"/>
        </w:rPr>
        <w:t xml:space="preserve">valid votes that the person knows to be invalid, or </w:t>
      </w:r>
      <w:r w:rsidRPr="00902552">
        <w:rPr>
          <w:rFonts w:eastAsia="Times New Roman" w:cs="Times New Roman"/>
          <w:szCs w:val="24"/>
        </w:rPr>
        <w:t xml:space="preserve">fail to count valid votes </w:t>
      </w:r>
      <w:r>
        <w:rPr>
          <w:rFonts w:eastAsia="Times New Roman" w:cs="Times New Roman"/>
          <w:szCs w:val="24"/>
        </w:rPr>
        <w:t xml:space="preserve">that the person knows to be valid </w:t>
      </w:r>
      <w:r w:rsidRPr="00902552">
        <w:rPr>
          <w:rFonts w:eastAsia="Times New Roman" w:cs="Times New Roman"/>
          <w:szCs w:val="24"/>
        </w:rPr>
        <w:t>or alter a report to exclude valid votes</w:t>
      </w:r>
      <w:r>
        <w:rPr>
          <w:rFonts w:eastAsia="Times New Roman" w:cs="Times New Roman"/>
          <w:szCs w:val="24"/>
        </w:rPr>
        <w:t xml:space="preserve"> that the person knows to be invalid. Makes nonsubstantive changes.</w:t>
      </w:r>
    </w:p>
    <w:p w:rsidR="00AB5645" w:rsidRPr="005C2A78" w:rsidRDefault="00AB5645" w:rsidP="00AB5645">
      <w:pPr>
        <w:spacing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</w:t>
      </w:r>
      <w:r w:rsidRPr="0090255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Provides that an</w:t>
      </w:r>
      <w:r w:rsidRPr="00902552">
        <w:rPr>
          <w:rFonts w:eastAsia="Times New Roman" w:cs="Times New Roman"/>
          <w:szCs w:val="24"/>
        </w:rPr>
        <w:t xml:space="preserve"> offense under </w:t>
      </w:r>
      <w:r>
        <w:rPr>
          <w:rFonts w:eastAsia="Times New Roman" w:cs="Times New Roman"/>
          <w:szCs w:val="24"/>
        </w:rPr>
        <w:t>Section 276.013 (Election Fraud)</w:t>
      </w:r>
      <w:r w:rsidRPr="00902552">
        <w:rPr>
          <w:rFonts w:eastAsia="Times New Roman" w:cs="Times New Roman"/>
          <w:szCs w:val="24"/>
        </w:rPr>
        <w:t xml:space="preserve"> is a </w:t>
      </w:r>
      <w:r>
        <w:rPr>
          <w:rFonts w:eastAsia="Times New Roman" w:cs="Times New Roman"/>
          <w:szCs w:val="24"/>
        </w:rPr>
        <w:t>felony of the second degree, rather than a Class A misdemeanor.</w:t>
      </w:r>
    </w:p>
    <w:p w:rsidR="00AB5645" w:rsidRPr="00C8671F" w:rsidRDefault="00AB5645" w:rsidP="00AB564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</w:p>
    <w:sectPr w:rsidR="00AB5645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19" w:rsidRDefault="00991919" w:rsidP="000F1DF9">
      <w:pPr>
        <w:spacing w:after="0" w:line="240" w:lineRule="auto"/>
      </w:pPr>
      <w:r>
        <w:separator/>
      </w:r>
    </w:p>
  </w:endnote>
  <w:endnote w:type="continuationSeparator" w:id="0">
    <w:p w:rsidR="00991919" w:rsidRDefault="0099191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9191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B5645">
                <w:rPr>
                  <w:sz w:val="20"/>
                  <w:szCs w:val="20"/>
                </w:rPr>
                <w:t>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AB5645">
                <w:rPr>
                  <w:sz w:val="20"/>
                  <w:szCs w:val="20"/>
                </w:rPr>
                <w:t>H.B. 574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AB5645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9191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B564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B564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19" w:rsidRDefault="00991919" w:rsidP="000F1DF9">
      <w:pPr>
        <w:spacing w:after="0" w:line="240" w:lineRule="auto"/>
      </w:pPr>
      <w:r>
        <w:separator/>
      </w:r>
    </w:p>
  </w:footnote>
  <w:footnote w:type="continuationSeparator" w:id="0">
    <w:p w:rsidR="00991919" w:rsidRDefault="00991919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91919"/>
    <w:rsid w:val="00AB5645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867C4"/>
  <w15:docId w15:val="{82A30714-5DFE-45C2-A9D3-DD082F17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564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1AF745314ED4FF99F75924E8C32D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5D1F3-6A25-418D-BEF4-E454964A9774}"/>
      </w:docPartPr>
      <w:docPartBody>
        <w:p w:rsidR="00000000" w:rsidRDefault="00ED0D44"/>
      </w:docPartBody>
    </w:docPart>
    <w:docPart>
      <w:docPartPr>
        <w:name w:val="AC81E1E232E9406BB277989AF3317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2F2EB-7517-4DC3-A147-AE73E3ACFCD2}"/>
      </w:docPartPr>
      <w:docPartBody>
        <w:p w:rsidR="00000000" w:rsidRDefault="00ED0D44"/>
      </w:docPartBody>
    </w:docPart>
    <w:docPart>
      <w:docPartPr>
        <w:name w:val="D8034F39D61F4CD8BE1967FE8F50D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B85F-B74C-4A11-8608-50056CF0819C}"/>
      </w:docPartPr>
      <w:docPartBody>
        <w:p w:rsidR="00000000" w:rsidRDefault="00ED0D44"/>
      </w:docPartBody>
    </w:docPart>
    <w:docPart>
      <w:docPartPr>
        <w:name w:val="6E34CF5FD6744A9D872838D6E3F8E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C4DF-10C4-4076-B1C9-A98FD08EBA3C}"/>
      </w:docPartPr>
      <w:docPartBody>
        <w:p w:rsidR="00000000" w:rsidRDefault="00ED0D44"/>
      </w:docPartBody>
    </w:docPart>
    <w:docPart>
      <w:docPartPr>
        <w:name w:val="7F9BC37BC46B46B187074333D20B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3B27-02E1-4A15-B141-EB7FC150340C}"/>
      </w:docPartPr>
      <w:docPartBody>
        <w:p w:rsidR="00000000" w:rsidRDefault="00ED0D44"/>
      </w:docPartBody>
    </w:docPart>
    <w:docPart>
      <w:docPartPr>
        <w:name w:val="13FBED524C8C46DAB99A3B13FD92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56B1-7B03-4AF1-A176-D6DD9D75A1FA}"/>
      </w:docPartPr>
      <w:docPartBody>
        <w:p w:rsidR="00000000" w:rsidRDefault="00ED0D44"/>
      </w:docPartBody>
    </w:docPart>
    <w:docPart>
      <w:docPartPr>
        <w:name w:val="DCB93E675B8D4B5A89416698777D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9AE3-4017-472D-96C2-7A108B6F1479}"/>
      </w:docPartPr>
      <w:docPartBody>
        <w:p w:rsidR="00000000" w:rsidRDefault="00ED0D44"/>
      </w:docPartBody>
    </w:docPart>
    <w:docPart>
      <w:docPartPr>
        <w:name w:val="11BBE60CFD4F40A9A2258B9845D9F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8927-F4B1-4A99-9C35-8153F961AE0F}"/>
      </w:docPartPr>
      <w:docPartBody>
        <w:p w:rsidR="00000000" w:rsidRDefault="00ED0D44"/>
      </w:docPartBody>
    </w:docPart>
    <w:docPart>
      <w:docPartPr>
        <w:name w:val="0E75A08F53AC403A8D83F3E998AA2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256C-C726-4A41-B57F-880C9EAEE1EF}"/>
      </w:docPartPr>
      <w:docPartBody>
        <w:p w:rsidR="00000000" w:rsidRDefault="00ED0D44"/>
      </w:docPartBody>
    </w:docPart>
    <w:docPart>
      <w:docPartPr>
        <w:name w:val="073A91F787334470986ED95A790E9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1741-8D0A-4B0C-B9DC-B8581D5563D2}"/>
      </w:docPartPr>
      <w:docPartBody>
        <w:p w:rsidR="00000000" w:rsidRDefault="001A3879" w:rsidP="001A3879">
          <w:pPr>
            <w:pStyle w:val="073A91F787334470986ED95A790E97D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BB518CFDE5F469B9FEA17EE28FC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BF6DD-3B9D-4988-909C-13A78406B860}"/>
      </w:docPartPr>
      <w:docPartBody>
        <w:p w:rsidR="00000000" w:rsidRDefault="00ED0D44"/>
      </w:docPartBody>
    </w:docPart>
    <w:docPart>
      <w:docPartPr>
        <w:name w:val="FD6ECB58883045C0938E9E4611A3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6FE8-59D5-484F-A627-1C7FF58F2472}"/>
      </w:docPartPr>
      <w:docPartBody>
        <w:p w:rsidR="00000000" w:rsidRDefault="00ED0D44"/>
      </w:docPartBody>
    </w:docPart>
    <w:docPart>
      <w:docPartPr>
        <w:name w:val="E694B96F467E43E0AB2506E35404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5854-B852-4324-A755-FB91CA164A26}"/>
      </w:docPartPr>
      <w:docPartBody>
        <w:p w:rsidR="00000000" w:rsidRDefault="001A3879" w:rsidP="001A3879">
          <w:pPr>
            <w:pStyle w:val="E694B96F467E43E0AB2506E35404E47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4658844700D463FA5346279D9C77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CF43-EE45-4437-9EB8-E10E230676FA}"/>
      </w:docPartPr>
      <w:docPartBody>
        <w:p w:rsidR="00000000" w:rsidRDefault="00ED0D44"/>
      </w:docPartBody>
    </w:docPart>
    <w:docPart>
      <w:docPartPr>
        <w:name w:val="C7A846EB10E0469EB14AA8F247B35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5743-B6F1-483D-931D-544367082820}"/>
      </w:docPartPr>
      <w:docPartBody>
        <w:p w:rsidR="00000000" w:rsidRDefault="00ED0D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A3879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D0D44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87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73A91F787334470986ED95A790E97D6">
    <w:name w:val="073A91F787334470986ED95A790E97D6"/>
    <w:rsid w:val="001A3879"/>
    <w:pPr>
      <w:spacing w:after="160" w:line="259" w:lineRule="auto"/>
    </w:pPr>
  </w:style>
  <w:style w:type="paragraph" w:customStyle="1" w:styleId="E694B96F467E43E0AB2506E35404E475">
    <w:name w:val="E694B96F467E43E0AB2506E35404E475"/>
    <w:rsid w:val="001A38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0E2B5B1-45C6-4DD0-97E5-2F823E0E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1</Pages>
  <Words>261</Words>
  <Characters>1489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Megan Nair</cp:lastModifiedBy>
  <cp:revision>161</cp:revision>
  <cp:lastPrinted>2021-04-28T17:50:00Z</cp:lastPrinted>
  <dcterms:created xsi:type="dcterms:W3CDTF">2015-05-29T14:24:00Z</dcterms:created>
  <dcterms:modified xsi:type="dcterms:W3CDTF">2021-04-28T17:50:00Z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