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26DD" w14:paraId="0EFC7D99" w14:textId="77777777" w:rsidTr="00345119">
        <w:tc>
          <w:tcPr>
            <w:tcW w:w="9576" w:type="dxa"/>
            <w:noWrap/>
          </w:tcPr>
          <w:p w14:paraId="7015CA3D" w14:textId="77777777" w:rsidR="008423E4" w:rsidRPr="0022177D" w:rsidRDefault="00A42585" w:rsidP="004355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6B1EBE" w14:textId="77777777" w:rsidR="008423E4" w:rsidRPr="0022177D" w:rsidRDefault="008423E4" w:rsidP="00435502">
      <w:pPr>
        <w:jc w:val="center"/>
      </w:pPr>
    </w:p>
    <w:p w14:paraId="33870F6E" w14:textId="77777777" w:rsidR="008423E4" w:rsidRPr="00B31F0E" w:rsidRDefault="008423E4" w:rsidP="00435502"/>
    <w:p w14:paraId="5F67AF79" w14:textId="77777777" w:rsidR="008423E4" w:rsidRPr="00742794" w:rsidRDefault="008423E4" w:rsidP="004355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26DD" w14:paraId="168BBFCA" w14:textId="77777777" w:rsidTr="00345119">
        <w:tc>
          <w:tcPr>
            <w:tcW w:w="9576" w:type="dxa"/>
          </w:tcPr>
          <w:p w14:paraId="27C39DDC" w14:textId="7C446F17" w:rsidR="008423E4" w:rsidRPr="00861995" w:rsidRDefault="00A42585" w:rsidP="00435502">
            <w:pPr>
              <w:jc w:val="right"/>
            </w:pPr>
            <w:r>
              <w:t>C.S.H.B. 610</w:t>
            </w:r>
          </w:p>
        </w:tc>
      </w:tr>
      <w:tr w:rsidR="000426DD" w14:paraId="3D9D5E57" w14:textId="77777777" w:rsidTr="00345119">
        <w:tc>
          <w:tcPr>
            <w:tcW w:w="9576" w:type="dxa"/>
          </w:tcPr>
          <w:p w14:paraId="0A496B13" w14:textId="5D7B0594" w:rsidR="008423E4" w:rsidRPr="00861995" w:rsidRDefault="00A42585" w:rsidP="00435502">
            <w:pPr>
              <w:jc w:val="right"/>
            </w:pPr>
            <w:r>
              <w:t xml:space="preserve">By: </w:t>
            </w:r>
            <w:r w:rsidR="00346F0F">
              <w:t>Swanson</w:t>
            </w:r>
          </w:p>
        </w:tc>
      </w:tr>
      <w:tr w:rsidR="000426DD" w14:paraId="7D37800E" w14:textId="77777777" w:rsidTr="00345119">
        <w:tc>
          <w:tcPr>
            <w:tcW w:w="9576" w:type="dxa"/>
          </w:tcPr>
          <w:p w14:paraId="59391069" w14:textId="7B6D7760" w:rsidR="008423E4" w:rsidRPr="00861995" w:rsidRDefault="00A42585" w:rsidP="00435502">
            <w:pPr>
              <w:jc w:val="right"/>
            </w:pPr>
            <w:r>
              <w:t>Judiciary &amp; Civil Jurisprudence</w:t>
            </w:r>
          </w:p>
        </w:tc>
      </w:tr>
      <w:tr w:rsidR="000426DD" w14:paraId="775A9DD5" w14:textId="77777777" w:rsidTr="00345119">
        <w:tc>
          <w:tcPr>
            <w:tcW w:w="9576" w:type="dxa"/>
          </w:tcPr>
          <w:p w14:paraId="55389936" w14:textId="1149DA49" w:rsidR="008423E4" w:rsidRDefault="00A42585" w:rsidP="00435502">
            <w:pPr>
              <w:jc w:val="right"/>
            </w:pPr>
            <w:r>
              <w:t>Committee Report (Substituted)</w:t>
            </w:r>
          </w:p>
        </w:tc>
      </w:tr>
    </w:tbl>
    <w:p w14:paraId="6A65DFD3" w14:textId="77777777" w:rsidR="008423E4" w:rsidRDefault="008423E4" w:rsidP="00435502">
      <w:pPr>
        <w:tabs>
          <w:tab w:val="right" w:pos="9360"/>
        </w:tabs>
      </w:pPr>
    </w:p>
    <w:p w14:paraId="61488DC6" w14:textId="77777777" w:rsidR="008423E4" w:rsidRDefault="008423E4" w:rsidP="00435502"/>
    <w:p w14:paraId="3773C2E4" w14:textId="77777777" w:rsidR="008423E4" w:rsidRDefault="008423E4" w:rsidP="004355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26DD" w14:paraId="707A9D3C" w14:textId="77777777" w:rsidTr="00345119">
        <w:tc>
          <w:tcPr>
            <w:tcW w:w="9576" w:type="dxa"/>
          </w:tcPr>
          <w:p w14:paraId="6F08761F" w14:textId="77777777" w:rsidR="008423E4" w:rsidRPr="00A8133F" w:rsidRDefault="00A42585" w:rsidP="004355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A8868A" w14:textId="77777777" w:rsidR="008423E4" w:rsidRDefault="008423E4" w:rsidP="00435502"/>
          <w:p w14:paraId="063E189B" w14:textId="40D3F57D" w:rsidR="008423E4" w:rsidRDefault="00A42585" w:rsidP="00435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 w:rsidR="00A03EEC">
              <w:t xml:space="preserve"> </w:t>
            </w:r>
            <w:r>
              <w:t xml:space="preserve">reducing </w:t>
            </w:r>
            <w:r w:rsidR="00A03EEC">
              <w:t>local regulation</w:t>
            </w:r>
            <w:r>
              <w:t>s on license holder</w:t>
            </w:r>
            <w:r w:rsidR="00080358">
              <w:t>s may minimize burdens on small</w:t>
            </w:r>
            <w:r w:rsidR="00A03EEC">
              <w:t xml:space="preserve"> businesses </w:t>
            </w:r>
            <w:r w:rsidR="00080358">
              <w:t xml:space="preserve">and assist in their </w:t>
            </w:r>
            <w:r w:rsidR="00A03EEC">
              <w:t>succe</w:t>
            </w:r>
            <w:r w:rsidR="00080358">
              <w:t>ss.</w:t>
            </w:r>
            <w:r w:rsidR="00A03EEC">
              <w:t xml:space="preserve"> </w:t>
            </w:r>
            <w:r>
              <w:t xml:space="preserve">C.S.H.B. </w:t>
            </w:r>
            <w:r w:rsidR="00A03EEC">
              <w:t xml:space="preserve">610 </w:t>
            </w:r>
            <w:r>
              <w:t xml:space="preserve">seeks to address this issue </w:t>
            </w:r>
            <w:r w:rsidR="00080358">
              <w:t xml:space="preserve">by </w:t>
            </w:r>
            <w:r w:rsidR="00A03EEC">
              <w:t>provid</w:t>
            </w:r>
            <w:r w:rsidR="00080358">
              <w:t>ing</w:t>
            </w:r>
            <w:r w:rsidR="00A03EEC">
              <w:t xml:space="preserve"> </w:t>
            </w:r>
            <w:r w:rsidR="00080358">
              <w:t xml:space="preserve">for </w:t>
            </w:r>
            <w:r w:rsidR="00A03EEC">
              <w:t xml:space="preserve">a judicial remedy to </w:t>
            </w:r>
            <w:r w:rsidR="00080358">
              <w:t>license holders</w:t>
            </w:r>
            <w:r w:rsidR="00A03EEC">
              <w:t xml:space="preserve"> if </w:t>
            </w:r>
            <w:r w:rsidR="00080358">
              <w:t>a</w:t>
            </w:r>
            <w:r w:rsidR="00A03EEC">
              <w:t xml:space="preserve"> local regulation is more stringent than regulations imposed by the state or would result in an adverse economic impact on the license</w:t>
            </w:r>
            <w:r w:rsidR="00080358">
              <w:t xml:space="preserve"> holder</w:t>
            </w:r>
            <w:r w:rsidR="00A03EEC">
              <w:t xml:space="preserve">. </w:t>
            </w:r>
          </w:p>
          <w:p w14:paraId="174295D4" w14:textId="77777777" w:rsidR="008423E4" w:rsidRPr="00E26B13" w:rsidRDefault="008423E4" w:rsidP="00435502">
            <w:pPr>
              <w:rPr>
                <w:b/>
              </w:rPr>
            </w:pPr>
          </w:p>
        </w:tc>
      </w:tr>
      <w:tr w:rsidR="000426DD" w14:paraId="7D31A7F9" w14:textId="77777777" w:rsidTr="00345119">
        <w:tc>
          <w:tcPr>
            <w:tcW w:w="9576" w:type="dxa"/>
          </w:tcPr>
          <w:p w14:paraId="2AEF01FB" w14:textId="77777777" w:rsidR="0017725B" w:rsidRDefault="00A42585" w:rsidP="004355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2BC557" w14:textId="77777777" w:rsidR="0017725B" w:rsidRDefault="0017725B" w:rsidP="00435502">
            <w:pPr>
              <w:rPr>
                <w:b/>
                <w:u w:val="single"/>
              </w:rPr>
            </w:pPr>
          </w:p>
          <w:p w14:paraId="603E5533" w14:textId="77777777" w:rsidR="000F27CD" w:rsidRPr="000F27CD" w:rsidRDefault="00A42585" w:rsidP="0043550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14:paraId="52576104" w14:textId="77777777" w:rsidR="0017725B" w:rsidRPr="0017725B" w:rsidRDefault="0017725B" w:rsidP="00435502">
            <w:pPr>
              <w:rPr>
                <w:b/>
                <w:u w:val="single"/>
              </w:rPr>
            </w:pPr>
          </w:p>
        </w:tc>
      </w:tr>
      <w:tr w:rsidR="000426DD" w14:paraId="2D0BD5DD" w14:textId="77777777" w:rsidTr="00345119">
        <w:tc>
          <w:tcPr>
            <w:tcW w:w="9576" w:type="dxa"/>
          </w:tcPr>
          <w:p w14:paraId="7505ED45" w14:textId="77777777" w:rsidR="008423E4" w:rsidRPr="00A8133F" w:rsidRDefault="00A42585" w:rsidP="004355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6C6CF8" w14:textId="77777777" w:rsidR="008423E4" w:rsidRDefault="008423E4" w:rsidP="00435502"/>
          <w:p w14:paraId="7D9D5E80" w14:textId="77777777" w:rsidR="000F27CD" w:rsidRDefault="00A42585" w:rsidP="00435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93F50CF" w14:textId="77777777" w:rsidR="008423E4" w:rsidRPr="00E21FDC" w:rsidRDefault="008423E4" w:rsidP="00435502">
            <w:pPr>
              <w:rPr>
                <w:b/>
              </w:rPr>
            </w:pPr>
          </w:p>
        </w:tc>
      </w:tr>
      <w:tr w:rsidR="000426DD" w14:paraId="5187C8B3" w14:textId="77777777" w:rsidTr="00345119">
        <w:tc>
          <w:tcPr>
            <w:tcW w:w="9576" w:type="dxa"/>
          </w:tcPr>
          <w:p w14:paraId="3A184FC2" w14:textId="77777777" w:rsidR="008423E4" w:rsidRPr="00A8133F" w:rsidRDefault="00A42585" w:rsidP="004355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B8A276" w14:textId="77777777" w:rsidR="008423E4" w:rsidRDefault="008423E4" w:rsidP="00435502"/>
          <w:p w14:paraId="4A6F253E" w14:textId="6C24F75E" w:rsidR="00C14195" w:rsidRDefault="00A42585" w:rsidP="00435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44626">
              <w:t xml:space="preserve">H.B. 610 amends the </w:t>
            </w:r>
            <w:r w:rsidR="00244626" w:rsidRPr="00244626">
              <w:t>Occupations Code</w:t>
            </w:r>
            <w:r w:rsidR="00244626">
              <w:t xml:space="preserve"> to authorize a </w:t>
            </w:r>
            <w:r w:rsidR="00244626" w:rsidRPr="00244626">
              <w:t>license holder</w:t>
            </w:r>
            <w:r w:rsidR="00244626">
              <w:t xml:space="preserve"> </w:t>
            </w:r>
            <w:r w:rsidR="00244626" w:rsidRPr="00244626">
              <w:t xml:space="preserve">to </w:t>
            </w:r>
            <w:r w:rsidR="000F27CD" w:rsidRPr="000F27CD">
              <w:t xml:space="preserve">bring an action to enjoin the enforcement of </w:t>
            </w:r>
            <w:r w:rsidR="00244626" w:rsidRPr="00244626">
              <w:t>a local law</w:t>
            </w:r>
            <w:r w:rsidR="00244626">
              <w:t xml:space="preserve"> that </w:t>
            </w:r>
            <w:r w:rsidR="00244626" w:rsidRPr="00244626">
              <w:t xml:space="preserve">regulates the occupation or </w:t>
            </w:r>
            <w:r w:rsidR="000F27CD">
              <w:t xml:space="preserve">license holder's </w:t>
            </w:r>
            <w:r w:rsidR="00244626" w:rsidRPr="00244626">
              <w:t xml:space="preserve">business activity </w:t>
            </w:r>
            <w:r w:rsidR="00244626">
              <w:t xml:space="preserve">in a manner more stringent than state law or that </w:t>
            </w:r>
            <w:r w:rsidR="00244626" w:rsidRPr="00244626">
              <w:t>would result in an adverse economic impact on the license holder</w:t>
            </w:r>
            <w:r w:rsidR="00244626">
              <w:t xml:space="preserve">. </w:t>
            </w:r>
            <w:r w:rsidR="00700C1B">
              <w:t xml:space="preserve">The bill </w:t>
            </w:r>
            <w:r>
              <w:t>does the following:</w:t>
            </w:r>
          </w:p>
          <w:p w14:paraId="216FFDFE" w14:textId="3E907F72" w:rsidR="00C14195" w:rsidRDefault="00A42585" w:rsidP="004355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license holder to </w:t>
            </w:r>
            <w:r w:rsidRPr="000F27CD">
              <w:t>show by a preponderance of the evidence</w:t>
            </w:r>
            <w:r>
              <w:t xml:space="preserve"> such stringent regulation or adverse impact; </w:t>
            </w:r>
          </w:p>
          <w:p w14:paraId="22AF0FD3" w14:textId="10FCCF64" w:rsidR="00C14195" w:rsidRDefault="00A42585" w:rsidP="004355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the license holder to </w:t>
            </w:r>
            <w:r w:rsidRPr="003C1949">
              <w:t>provide evi</w:t>
            </w:r>
            <w:r w:rsidRPr="003C1949">
              <w:t>dence regarding the adverse economic impact of similar local laws in other jurisdictions inside or outside</w:t>
            </w:r>
            <w:r>
              <w:t xml:space="preserve"> Texas;</w:t>
            </w:r>
            <w:r w:rsidR="00244626">
              <w:t xml:space="preserve"> </w:t>
            </w:r>
          </w:p>
          <w:p w14:paraId="1DB93138" w14:textId="27EDAD74" w:rsidR="00C14195" w:rsidRDefault="00A42585" w:rsidP="004355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license holder to bring the action in a </w:t>
            </w:r>
            <w:r w:rsidRPr="00244626">
              <w:t xml:space="preserve">district court </w:t>
            </w:r>
            <w:r w:rsidR="00733F17">
              <w:t xml:space="preserve">in Travis County or </w:t>
            </w:r>
            <w:r w:rsidRPr="00244626">
              <w:t>in</w:t>
            </w:r>
            <w:r>
              <w:t xml:space="preserve"> </w:t>
            </w:r>
            <w:r w:rsidRPr="00244626">
              <w:t>a county that includes any territory of the munici</w:t>
            </w:r>
            <w:r w:rsidRPr="00244626">
              <w:t>pality that adopted the local law</w:t>
            </w:r>
            <w:r>
              <w:t>;</w:t>
            </w:r>
          </w:p>
          <w:p w14:paraId="27553025" w14:textId="05373709" w:rsidR="00C14195" w:rsidRDefault="00A42585" w:rsidP="004355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places on the</w:t>
            </w:r>
            <w:r w:rsidR="00A44A30">
              <w:t xml:space="preserve"> defending</w:t>
            </w:r>
            <w:r>
              <w:t xml:space="preserve"> municipality the burden </w:t>
            </w:r>
            <w:r w:rsidRPr="003C1949">
              <w:t xml:space="preserve">of establishing that the </w:t>
            </w:r>
            <w:r w:rsidR="00A44A30">
              <w:t xml:space="preserve">local </w:t>
            </w:r>
            <w:r w:rsidRPr="003C1949">
              <w:t>law</w:t>
            </w:r>
            <w:r>
              <w:t xml:space="preserve"> </w:t>
            </w:r>
            <w:r w:rsidRPr="003C1949">
              <w:t>does not conflict with state law</w:t>
            </w:r>
            <w:r>
              <w:t xml:space="preserve"> and </w:t>
            </w:r>
            <w:r w:rsidRPr="003C1949">
              <w:t>is necessary and narrowly tailored to protect against actual and specific harm to the public's health</w:t>
            </w:r>
            <w:r w:rsidRPr="003C1949">
              <w:t xml:space="preserve"> or safety</w:t>
            </w:r>
            <w:r>
              <w:t>;</w:t>
            </w:r>
          </w:p>
          <w:p w14:paraId="5EC426EF" w14:textId="691266CA" w:rsidR="00C14195" w:rsidRDefault="00A42585" w:rsidP="004355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the court to </w:t>
            </w:r>
            <w:r w:rsidRPr="003C1949">
              <w:t>grant any prohibitory or mandatory relief warranted by the facts</w:t>
            </w:r>
            <w:r>
              <w:t>;</w:t>
            </w:r>
            <w:r w:rsidR="00A44A30">
              <w:t xml:space="preserve"> and</w:t>
            </w:r>
            <w:r>
              <w:t xml:space="preserve"> </w:t>
            </w:r>
          </w:p>
          <w:p w14:paraId="21255479" w14:textId="144C9981" w:rsidR="00C14195" w:rsidRDefault="00A42585" w:rsidP="004355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court to </w:t>
            </w:r>
            <w:r w:rsidRPr="003C1949">
              <w:t xml:space="preserve">award court costs and reasonable and necessary attorney's fees </w:t>
            </w:r>
            <w:r>
              <w:t xml:space="preserve">to be </w:t>
            </w:r>
            <w:r w:rsidRPr="003C1949">
              <w:t>paid by the municipality</w:t>
            </w:r>
            <w:r w:rsidR="00A44A30">
              <w:t xml:space="preserve"> </w:t>
            </w:r>
            <w:r w:rsidR="00A44A30" w:rsidRPr="003C1949">
              <w:t>to</w:t>
            </w:r>
            <w:r w:rsidR="00A44A30">
              <w:t xml:space="preserve"> a license holder that prevails in the action</w:t>
            </w:r>
            <w:r>
              <w:t>.</w:t>
            </w:r>
            <w:r w:rsidR="00733F17">
              <w:t xml:space="preserve"> </w:t>
            </w:r>
          </w:p>
          <w:p w14:paraId="333D72AB" w14:textId="6ECF48B6" w:rsidR="009C36CD" w:rsidRPr="009C36CD" w:rsidRDefault="00A42585" w:rsidP="00435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sets out the purposes of its provisions.</w:t>
            </w:r>
          </w:p>
          <w:p w14:paraId="5764CFE1" w14:textId="77777777" w:rsidR="008423E4" w:rsidRPr="00835628" w:rsidRDefault="008423E4" w:rsidP="00435502">
            <w:pPr>
              <w:rPr>
                <w:b/>
              </w:rPr>
            </w:pPr>
          </w:p>
        </w:tc>
      </w:tr>
      <w:tr w:rsidR="000426DD" w14:paraId="4AFA01E0" w14:textId="77777777" w:rsidTr="00345119">
        <w:tc>
          <w:tcPr>
            <w:tcW w:w="9576" w:type="dxa"/>
          </w:tcPr>
          <w:p w14:paraId="612B4C53" w14:textId="77777777" w:rsidR="008423E4" w:rsidRPr="00A8133F" w:rsidRDefault="00A42585" w:rsidP="004355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1BE910" w14:textId="77777777" w:rsidR="008423E4" w:rsidRDefault="008423E4" w:rsidP="00435502"/>
          <w:p w14:paraId="2AC8EDA5" w14:textId="3D58A83D" w:rsidR="008423E4" w:rsidRDefault="00A42585" w:rsidP="00435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D3B0E18" w14:textId="77777777" w:rsidR="00435502" w:rsidRPr="003624F2" w:rsidRDefault="00435502" w:rsidP="00435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519CD1" w14:textId="77777777" w:rsidR="008423E4" w:rsidRPr="00233FDB" w:rsidRDefault="008423E4" w:rsidP="00435502">
            <w:pPr>
              <w:rPr>
                <w:b/>
              </w:rPr>
            </w:pPr>
          </w:p>
        </w:tc>
      </w:tr>
      <w:tr w:rsidR="000426DD" w14:paraId="5C19F5AD" w14:textId="77777777" w:rsidTr="00345119">
        <w:tc>
          <w:tcPr>
            <w:tcW w:w="9576" w:type="dxa"/>
          </w:tcPr>
          <w:p w14:paraId="65F1A561" w14:textId="77777777" w:rsidR="00346F0F" w:rsidRDefault="00A42585" w:rsidP="004355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E6B077B" w14:textId="77777777" w:rsidR="002C4BD6" w:rsidRDefault="002C4BD6" w:rsidP="00435502">
            <w:pPr>
              <w:jc w:val="both"/>
            </w:pPr>
          </w:p>
          <w:p w14:paraId="0B392D7D" w14:textId="2AFC80DA" w:rsidR="002C4BD6" w:rsidRDefault="00A42585" w:rsidP="00435502">
            <w:pPr>
              <w:jc w:val="both"/>
            </w:pPr>
            <w:r>
              <w:t>C.S.H.B. 610 differs from the original in minor or nonsubstantive ways to make technical corrections.</w:t>
            </w:r>
          </w:p>
          <w:p w14:paraId="729F15F3" w14:textId="7E29883E" w:rsidR="002C4BD6" w:rsidRPr="002C4BD6" w:rsidRDefault="002C4BD6" w:rsidP="00435502">
            <w:pPr>
              <w:jc w:val="both"/>
            </w:pPr>
          </w:p>
        </w:tc>
      </w:tr>
      <w:tr w:rsidR="000426DD" w14:paraId="0E23CB94" w14:textId="77777777" w:rsidTr="00345119">
        <w:tc>
          <w:tcPr>
            <w:tcW w:w="9576" w:type="dxa"/>
          </w:tcPr>
          <w:p w14:paraId="5AE4948D" w14:textId="77777777" w:rsidR="00346F0F" w:rsidRPr="009C1E9A" w:rsidRDefault="00346F0F" w:rsidP="00435502">
            <w:pPr>
              <w:rPr>
                <w:b/>
                <w:u w:val="single"/>
              </w:rPr>
            </w:pPr>
          </w:p>
        </w:tc>
      </w:tr>
      <w:tr w:rsidR="000426DD" w14:paraId="39B5ECF5" w14:textId="77777777" w:rsidTr="00345119">
        <w:tc>
          <w:tcPr>
            <w:tcW w:w="9576" w:type="dxa"/>
          </w:tcPr>
          <w:p w14:paraId="1C746E3D" w14:textId="77777777" w:rsidR="00346F0F" w:rsidRPr="00346F0F" w:rsidRDefault="00346F0F" w:rsidP="00435502">
            <w:pPr>
              <w:jc w:val="both"/>
            </w:pPr>
          </w:p>
        </w:tc>
      </w:tr>
    </w:tbl>
    <w:p w14:paraId="7426C344" w14:textId="77777777" w:rsidR="008423E4" w:rsidRPr="00BE0E75" w:rsidRDefault="008423E4" w:rsidP="00435502">
      <w:pPr>
        <w:jc w:val="both"/>
        <w:rPr>
          <w:rFonts w:ascii="Arial" w:hAnsi="Arial"/>
          <w:sz w:val="16"/>
          <w:szCs w:val="16"/>
        </w:rPr>
      </w:pPr>
    </w:p>
    <w:p w14:paraId="0E1E0031" w14:textId="77777777" w:rsidR="004108C3" w:rsidRPr="008423E4" w:rsidRDefault="004108C3" w:rsidP="0043550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C082" w14:textId="77777777" w:rsidR="00000000" w:rsidRDefault="00A42585">
      <w:r>
        <w:separator/>
      </w:r>
    </w:p>
  </w:endnote>
  <w:endnote w:type="continuationSeparator" w:id="0">
    <w:p w14:paraId="0606DA72" w14:textId="77777777" w:rsidR="00000000" w:rsidRDefault="00A4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2C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26DD" w14:paraId="77FC906E" w14:textId="77777777" w:rsidTr="009C1E9A">
      <w:trPr>
        <w:cantSplit/>
      </w:trPr>
      <w:tc>
        <w:tcPr>
          <w:tcW w:w="0" w:type="pct"/>
        </w:tcPr>
        <w:p w14:paraId="401BC9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018B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4ECA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C55F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EC8D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26DD" w14:paraId="4D3D6BF9" w14:textId="77777777" w:rsidTr="009C1E9A">
      <w:trPr>
        <w:cantSplit/>
      </w:trPr>
      <w:tc>
        <w:tcPr>
          <w:tcW w:w="0" w:type="pct"/>
        </w:tcPr>
        <w:p w14:paraId="2F3DC9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723D24" w14:textId="75BF2C27" w:rsidR="00EC379B" w:rsidRPr="009C1E9A" w:rsidRDefault="00A425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21289</w:t>
          </w:r>
        </w:p>
      </w:tc>
      <w:tc>
        <w:tcPr>
          <w:tcW w:w="2453" w:type="pct"/>
        </w:tcPr>
        <w:p w14:paraId="69A07F38" w14:textId="5C0D59ED" w:rsidR="00EC379B" w:rsidRDefault="00A425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63FDC">
            <w:t>21.111.1258</w:t>
          </w:r>
          <w:r>
            <w:fldChar w:fldCharType="end"/>
          </w:r>
        </w:p>
      </w:tc>
    </w:tr>
    <w:tr w:rsidR="000426DD" w14:paraId="2905141F" w14:textId="77777777" w:rsidTr="009C1E9A">
      <w:trPr>
        <w:cantSplit/>
      </w:trPr>
      <w:tc>
        <w:tcPr>
          <w:tcW w:w="0" w:type="pct"/>
        </w:tcPr>
        <w:p w14:paraId="486407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721E08" w14:textId="7BCB7B70" w:rsidR="00EC379B" w:rsidRPr="009C1E9A" w:rsidRDefault="00A425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16680</w:t>
          </w:r>
        </w:p>
      </w:tc>
      <w:tc>
        <w:tcPr>
          <w:tcW w:w="2453" w:type="pct"/>
        </w:tcPr>
        <w:p w14:paraId="74F6F6B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63B4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26DD" w14:paraId="7D891E1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E1ABF3" w14:textId="7DC71E13" w:rsidR="00EC379B" w:rsidRDefault="00A425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3FD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8E56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538C7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8B3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9B49" w14:textId="77777777" w:rsidR="00000000" w:rsidRDefault="00A42585">
      <w:r>
        <w:separator/>
      </w:r>
    </w:p>
  </w:footnote>
  <w:footnote w:type="continuationSeparator" w:id="0">
    <w:p w14:paraId="7BD62017" w14:textId="77777777" w:rsidR="00000000" w:rsidRDefault="00A4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53C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C42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C9D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AC1"/>
    <w:multiLevelType w:val="hybridMultilevel"/>
    <w:tmpl w:val="1BE2F45C"/>
    <w:lvl w:ilvl="0" w:tplc="AA62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A4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22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1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1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2B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E8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07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9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F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6DD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358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49A"/>
    <w:rsid w:val="000B154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7CD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2BA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E18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626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79B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BD6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F0F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182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949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502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FD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351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8E7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3C8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AFA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62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FC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C1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F1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CE1"/>
    <w:rsid w:val="0077098E"/>
    <w:rsid w:val="00771287"/>
    <w:rsid w:val="0077149E"/>
    <w:rsid w:val="00777518"/>
    <w:rsid w:val="0077779E"/>
    <w:rsid w:val="00780FB6"/>
    <w:rsid w:val="00783B9B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198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ED0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B4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EEC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85"/>
    <w:rsid w:val="00A425FA"/>
    <w:rsid w:val="00A43960"/>
    <w:rsid w:val="00A44A3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563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1E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F4E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78B"/>
    <w:rsid w:val="00BD4E55"/>
    <w:rsid w:val="00BD513B"/>
    <w:rsid w:val="00BD5E52"/>
    <w:rsid w:val="00BE00CD"/>
    <w:rsid w:val="00BE0E75"/>
    <w:rsid w:val="00BE1789"/>
    <w:rsid w:val="00BE3634"/>
    <w:rsid w:val="00BE3E30"/>
    <w:rsid w:val="00BE4CF9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19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2F0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0FB"/>
    <w:rsid w:val="00DC7761"/>
    <w:rsid w:val="00DD0022"/>
    <w:rsid w:val="00DD073C"/>
    <w:rsid w:val="00DD128C"/>
    <w:rsid w:val="00DD1B8F"/>
    <w:rsid w:val="00DD4658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62F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239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075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316E11-1142-4CAA-B87D-466EEFF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2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7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2172</Characters>
  <Application>Microsoft Office Word</Application>
  <DocSecurity>4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HB00610 (Committee Report (Substituted))</vt:lpstr>
    </vt:vector>
  </TitlesOfParts>
  <Company>State of Texas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21289</dc:subject>
  <dc:creator>State of Texas</dc:creator>
  <dc:description>HB 610 by Swanson-(H)Judiciary &amp; Civil Jurisprudence (Substitute Document Number: 87R 16680)</dc:description>
  <cp:lastModifiedBy>Stacey Nicchio</cp:lastModifiedBy>
  <cp:revision>2</cp:revision>
  <cp:lastPrinted>2003-11-26T17:21:00Z</cp:lastPrinted>
  <dcterms:created xsi:type="dcterms:W3CDTF">2021-04-30T15:10:00Z</dcterms:created>
  <dcterms:modified xsi:type="dcterms:W3CDTF">2021-04-30T15:10:00Z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21.111.1258</vt:lpwstr>
  </property>
</Properties>
</file>