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14107" w14:paraId="78F8215D" w14:textId="77777777" w:rsidTr="00345119">
        <w:tc>
          <w:tcPr>
            <w:tcW w:w="9576" w:type="dxa"/>
            <w:noWrap/>
          </w:tcPr>
          <w:p w14:paraId="1BB13983" w14:textId="77777777" w:rsidR="008423E4" w:rsidRPr="0022177D" w:rsidRDefault="0061593C" w:rsidP="00910F0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224F7A0" w14:textId="77777777" w:rsidR="008423E4" w:rsidRPr="0022177D" w:rsidRDefault="008423E4" w:rsidP="00910F0E">
      <w:pPr>
        <w:jc w:val="center"/>
      </w:pPr>
    </w:p>
    <w:p w14:paraId="3F3CA54B" w14:textId="77777777" w:rsidR="008423E4" w:rsidRPr="00B31F0E" w:rsidRDefault="008423E4" w:rsidP="00910F0E"/>
    <w:p w14:paraId="149E04DE" w14:textId="77777777" w:rsidR="008423E4" w:rsidRPr="00742794" w:rsidRDefault="008423E4" w:rsidP="00910F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14107" w14:paraId="22775ADA" w14:textId="77777777" w:rsidTr="00345119">
        <w:tc>
          <w:tcPr>
            <w:tcW w:w="9576" w:type="dxa"/>
          </w:tcPr>
          <w:p w14:paraId="0D2D6B3A" w14:textId="2B44E923" w:rsidR="008423E4" w:rsidRPr="00861995" w:rsidRDefault="0061593C" w:rsidP="00910F0E">
            <w:pPr>
              <w:jc w:val="right"/>
            </w:pPr>
            <w:r>
              <w:t>C.S.H.B. 764</w:t>
            </w:r>
          </w:p>
        </w:tc>
      </w:tr>
      <w:tr w:rsidR="00014107" w14:paraId="0B5595CC" w14:textId="77777777" w:rsidTr="00345119">
        <w:tc>
          <w:tcPr>
            <w:tcW w:w="9576" w:type="dxa"/>
          </w:tcPr>
          <w:p w14:paraId="57E51B4F" w14:textId="1B8AE2CE" w:rsidR="008423E4" w:rsidRPr="00861995" w:rsidRDefault="0061593C" w:rsidP="00910F0E">
            <w:pPr>
              <w:jc w:val="right"/>
            </w:pPr>
            <w:r>
              <w:t xml:space="preserve">By: </w:t>
            </w:r>
            <w:r w:rsidR="00F046E7">
              <w:t>Krause</w:t>
            </w:r>
          </w:p>
        </w:tc>
      </w:tr>
      <w:tr w:rsidR="00014107" w14:paraId="24C56BC1" w14:textId="77777777" w:rsidTr="00345119">
        <w:tc>
          <w:tcPr>
            <w:tcW w:w="9576" w:type="dxa"/>
          </w:tcPr>
          <w:p w14:paraId="6D605C64" w14:textId="3B060DC5" w:rsidR="008423E4" w:rsidRPr="00861995" w:rsidRDefault="0061593C" w:rsidP="00910F0E">
            <w:pPr>
              <w:jc w:val="right"/>
            </w:pPr>
            <w:r>
              <w:t>Public Education</w:t>
            </w:r>
          </w:p>
        </w:tc>
      </w:tr>
      <w:tr w:rsidR="00014107" w14:paraId="1E5190B3" w14:textId="77777777" w:rsidTr="00345119">
        <w:tc>
          <w:tcPr>
            <w:tcW w:w="9576" w:type="dxa"/>
          </w:tcPr>
          <w:p w14:paraId="44C395AB" w14:textId="7FD13D4A" w:rsidR="008423E4" w:rsidRDefault="0061593C" w:rsidP="00910F0E">
            <w:pPr>
              <w:jc w:val="right"/>
            </w:pPr>
            <w:r>
              <w:t>Committee Report (Substituted)</w:t>
            </w:r>
          </w:p>
        </w:tc>
      </w:tr>
    </w:tbl>
    <w:p w14:paraId="3A28D2C2" w14:textId="77777777" w:rsidR="008423E4" w:rsidRDefault="008423E4" w:rsidP="00910F0E">
      <w:pPr>
        <w:tabs>
          <w:tab w:val="right" w:pos="9360"/>
        </w:tabs>
      </w:pPr>
    </w:p>
    <w:p w14:paraId="4B2A2B00" w14:textId="77777777" w:rsidR="008423E4" w:rsidRDefault="008423E4" w:rsidP="00910F0E"/>
    <w:p w14:paraId="2BC086A1" w14:textId="77777777" w:rsidR="008423E4" w:rsidRDefault="008423E4" w:rsidP="00910F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14107" w14:paraId="79EBCED4" w14:textId="77777777" w:rsidTr="00345119">
        <w:tc>
          <w:tcPr>
            <w:tcW w:w="9576" w:type="dxa"/>
          </w:tcPr>
          <w:p w14:paraId="13F989FC" w14:textId="77777777" w:rsidR="008423E4" w:rsidRPr="00A8133F" w:rsidRDefault="0061593C" w:rsidP="00910F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2F4490" w14:textId="77777777" w:rsidR="008423E4" w:rsidRDefault="008423E4" w:rsidP="00910F0E"/>
          <w:p w14:paraId="1B66351C" w14:textId="7CA60825" w:rsidR="008423E4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 to reform the State of Texas Assessments of Academic Readiness (STAAR) and end-of-course assessments by ceasing administration of STAAR tests that are not federally required in elementary and middle school and by replacing high school</w:t>
            </w:r>
            <w:r>
              <w:t xml:space="preserve"> end-of-course exams with post-secondary education entrance </w:t>
            </w:r>
            <w:r w:rsidR="00741210">
              <w:t>tests</w:t>
            </w:r>
            <w:r>
              <w:t xml:space="preserve">. C.S.H.B. 764 seeks to address this issue by </w:t>
            </w:r>
            <w:r w:rsidR="00B975F7">
              <w:t xml:space="preserve">removing requirements relating to </w:t>
            </w:r>
            <w:r>
              <w:t>end-of-course exams for high school students</w:t>
            </w:r>
            <w:r w:rsidR="00B975F7">
              <w:t xml:space="preserve"> and replacing them with specified </w:t>
            </w:r>
            <w:r>
              <w:t>secondary</w:t>
            </w:r>
            <w:r w:rsidR="00741210">
              <w:t>-level tests</w:t>
            </w:r>
            <w:r>
              <w:t xml:space="preserve">. </w:t>
            </w:r>
            <w:r w:rsidR="002863AE">
              <w:t xml:space="preserve"> </w:t>
            </w:r>
            <w:r w:rsidR="00C63B9D">
              <w:t xml:space="preserve"> </w:t>
            </w:r>
          </w:p>
          <w:p w14:paraId="3B10431F" w14:textId="77777777" w:rsidR="008423E4" w:rsidRPr="00E26B13" w:rsidRDefault="008423E4" w:rsidP="00910F0E">
            <w:pPr>
              <w:rPr>
                <w:b/>
              </w:rPr>
            </w:pPr>
          </w:p>
        </w:tc>
      </w:tr>
      <w:tr w:rsidR="00014107" w14:paraId="2225395B" w14:textId="77777777" w:rsidTr="00345119">
        <w:tc>
          <w:tcPr>
            <w:tcW w:w="9576" w:type="dxa"/>
          </w:tcPr>
          <w:p w14:paraId="666AA1A9" w14:textId="77777777" w:rsidR="0017725B" w:rsidRDefault="0061593C" w:rsidP="00910F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</w:t>
            </w:r>
            <w:r>
              <w:rPr>
                <w:b/>
                <w:u w:val="single"/>
              </w:rPr>
              <w:t>INAL JUSTICE IMPACT</w:t>
            </w:r>
          </w:p>
          <w:p w14:paraId="23C8B9F8" w14:textId="77777777" w:rsidR="0017725B" w:rsidRDefault="0017725B" w:rsidP="00910F0E">
            <w:pPr>
              <w:rPr>
                <w:b/>
                <w:u w:val="single"/>
              </w:rPr>
            </w:pPr>
          </w:p>
          <w:p w14:paraId="028A5A79" w14:textId="456C3990" w:rsidR="00D03A97" w:rsidRPr="00D03A97" w:rsidRDefault="0061593C" w:rsidP="00910F0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</w:t>
            </w:r>
            <w:r>
              <w:t>n, parole, or mandatory supervision.</w:t>
            </w:r>
          </w:p>
          <w:p w14:paraId="38975F06" w14:textId="77777777" w:rsidR="0017725B" w:rsidRPr="0017725B" w:rsidRDefault="0017725B" w:rsidP="00910F0E">
            <w:pPr>
              <w:rPr>
                <w:b/>
                <w:u w:val="single"/>
              </w:rPr>
            </w:pPr>
          </w:p>
        </w:tc>
      </w:tr>
      <w:tr w:rsidR="00014107" w14:paraId="2DF0F5DB" w14:textId="77777777" w:rsidTr="00345119">
        <w:tc>
          <w:tcPr>
            <w:tcW w:w="9576" w:type="dxa"/>
          </w:tcPr>
          <w:p w14:paraId="0916192D" w14:textId="77777777" w:rsidR="008423E4" w:rsidRPr="00A8133F" w:rsidRDefault="0061593C" w:rsidP="00910F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D080E8" w14:textId="77777777" w:rsidR="008423E4" w:rsidRDefault="008423E4" w:rsidP="00910F0E"/>
          <w:p w14:paraId="149C3DB6" w14:textId="46FD85A0" w:rsidR="00D03A97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 w:rsidR="00285A42">
              <w:t>rulemaking authority is expressly granted to the State Board of Education in SECTION 1</w:t>
            </w:r>
            <w:r w:rsidR="00B975F7">
              <w:t>4</w:t>
            </w:r>
            <w:r w:rsidR="00285A42">
              <w:t xml:space="preserve"> </w:t>
            </w:r>
            <w:r w:rsidR="00A60053">
              <w:t>of this bill and to the commissioner of education in SECTION</w:t>
            </w:r>
            <w:r w:rsidR="00B975F7">
              <w:t>S 19 and</w:t>
            </w:r>
            <w:r w:rsidR="00A60053">
              <w:t xml:space="preserve"> </w:t>
            </w:r>
            <w:r w:rsidR="00B975F7">
              <w:t>20</w:t>
            </w:r>
            <w:r w:rsidR="00A60053">
              <w:t xml:space="preserve"> </w:t>
            </w:r>
            <w:r w:rsidR="00285A42">
              <w:t xml:space="preserve">of this bill. </w:t>
            </w:r>
          </w:p>
          <w:p w14:paraId="02CA822F" w14:textId="77777777" w:rsidR="008423E4" w:rsidRPr="00E21FDC" w:rsidRDefault="008423E4" w:rsidP="00910F0E">
            <w:pPr>
              <w:rPr>
                <w:b/>
              </w:rPr>
            </w:pPr>
          </w:p>
        </w:tc>
      </w:tr>
      <w:tr w:rsidR="00014107" w14:paraId="54622465" w14:textId="77777777" w:rsidTr="00345119">
        <w:tc>
          <w:tcPr>
            <w:tcW w:w="9576" w:type="dxa"/>
          </w:tcPr>
          <w:p w14:paraId="10148F8E" w14:textId="77777777" w:rsidR="00553808" w:rsidRPr="00553808" w:rsidRDefault="0061593C" w:rsidP="00910F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DACBDF" w14:textId="77777777" w:rsidR="007527E6" w:rsidRDefault="007527E6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3515E2" w14:textId="4B838D91" w:rsidR="00D67B01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3808">
              <w:t xml:space="preserve">H.B. </w:t>
            </w:r>
            <w:r w:rsidR="00A15A32">
              <w:t>764</w:t>
            </w:r>
            <w:r w:rsidR="00553808">
              <w:t xml:space="preserve"> </w:t>
            </w:r>
            <w:r w:rsidR="005F2B54">
              <w:t xml:space="preserve">amends the Education Code </w:t>
            </w:r>
            <w:r w:rsidR="005F2B54" w:rsidRPr="0018136C">
              <w:t>to remove</w:t>
            </w:r>
            <w:r w:rsidR="005F2B54">
              <w:t xml:space="preserve"> requirements for the administration of statewide standardized tests in writing in grades four and seven</w:t>
            </w:r>
            <w:r w:rsidR="00A15A32">
              <w:t>,</w:t>
            </w:r>
            <w:r w:rsidR="005F2B54">
              <w:t xml:space="preserve"> in social studies in grade eight</w:t>
            </w:r>
            <w:r w:rsidR="00A15A32">
              <w:t>, and in any additional subject and grade required by federal law</w:t>
            </w:r>
            <w:r w:rsidR="005F2B54">
              <w:t xml:space="preserve">. The bill removes </w:t>
            </w:r>
            <w:r w:rsidR="00553808" w:rsidRPr="0018136C">
              <w:t>requirements that the Texas Education Agency (TEA) adopt end</w:t>
            </w:r>
            <w:r w:rsidR="00614F14">
              <w:noBreakHyphen/>
            </w:r>
            <w:r w:rsidR="00553808" w:rsidRPr="0018136C">
              <w:t>of</w:t>
            </w:r>
            <w:r w:rsidR="00614F14">
              <w:noBreakHyphen/>
            </w:r>
            <w:r w:rsidR="00553808" w:rsidRPr="0018136C">
              <w:t xml:space="preserve">course tests for secondary-level courses in Algebra I, biology, English I, English II, and U.S. history and that the State Board of Education (SBOE) </w:t>
            </w:r>
            <w:r w:rsidR="00B50BCF">
              <w:t xml:space="preserve">schedule and </w:t>
            </w:r>
            <w:r w:rsidR="00553808" w:rsidRPr="0018136C">
              <w:t>administer the test</w:t>
            </w:r>
            <w:r w:rsidR="0018136C">
              <w:t>s</w:t>
            </w:r>
            <w:r w:rsidR="00801CBB">
              <w:t>. The bill</w:t>
            </w:r>
            <w:r w:rsidR="0018136C">
              <w:t xml:space="preserve"> requires TEA instead to provide for tests for each federally required secondary-level subject, including English language arts, mathematics, and science.</w:t>
            </w:r>
          </w:p>
          <w:p w14:paraId="15DBB27D" w14:textId="77777777" w:rsidR="00D67B01" w:rsidRDefault="00D67B01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FD3FF84" w14:textId="79A0AD77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67B01">
              <w:t xml:space="preserve">H.B. </w:t>
            </w:r>
            <w:r>
              <w:t xml:space="preserve">764 requires the commissioner of education to </w:t>
            </w:r>
            <w:r w:rsidRPr="0072303B">
              <w:t>id</w:t>
            </w:r>
            <w:r w:rsidRPr="0072303B">
              <w:t xml:space="preserve">entify a procedure for a </w:t>
            </w:r>
            <w:r>
              <w:t xml:space="preserve">public </w:t>
            </w:r>
            <w:r w:rsidRPr="0072303B">
              <w:t xml:space="preserve">school district to select as a secondary-level </w:t>
            </w:r>
            <w:r>
              <w:t>test</w:t>
            </w:r>
            <w:r w:rsidRPr="0072303B">
              <w:t xml:space="preserve"> the SAT</w:t>
            </w:r>
            <w:r w:rsidR="0079413B">
              <w:t xml:space="preserve">, </w:t>
            </w:r>
            <w:r w:rsidRPr="0072303B">
              <w:t>the ACT</w:t>
            </w:r>
            <w:r>
              <w:t>,</w:t>
            </w:r>
            <w:r w:rsidR="0079413B">
              <w:t xml:space="preserve"> or </w:t>
            </w:r>
            <w:r w:rsidR="0079413B" w:rsidRPr="0072303B">
              <w:t>a</w:t>
            </w:r>
            <w:r w:rsidR="0079413B">
              <w:t>ny other</w:t>
            </w:r>
            <w:r w:rsidR="0079413B" w:rsidRPr="0072303B">
              <w:t xml:space="preserve"> nationally recognized, norm-referenced </w:t>
            </w:r>
            <w:r w:rsidR="0079413B">
              <w:t xml:space="preserve">test designated by the commissioner. The bill </w:t>
            </w:r>
            <w:r>
              <w:t xml:space="preserve">requires a district to </w:t>
            </w:r>
            <w:r w:rsidR="0079413B">
              <w:t>select on</w:t>
            </w:r>
            <w:r w:rsidR="00E51723">
              <w:t>e</w:t>
            </w:r>
            <w:r w:rsidR="0079413B">
              <w:t xml:space="preserve"> or more test</w:t>
            </w:r>
            <w:r w:rsidR="00E51723">
              <w:t>s</w:t>
            </w:r>
            <w:r w:rsidR="0079413B">
              <w:t xml:space="preserve"> and requires a district that selects more than one test to administer </w:t>
            </w:r>
            <w:r w:rsidR="009E20BE">
              <w:t xml:space="preserve">the same test </w:t>
            </w:r>
            <w:r w:rsidR="0079413B">
              <w:t>uniformly to students in the district to satisfy the requirement for the same subject</w:t>
            </w:r>
            <w:r w:rsidRPr="0072303B">
              <w:t>.</w:t>
            </w:r>
            <w:r>
              <w:t xml:space="preserve"> The bill removes and repeals provisions relating to end</w:t>
            </w:r>
            <w:r>
              <w:t xml:space="preserve">-of-course tests, with the exception of certain provisions relating to student performance on the tests, which the bill makes applicable to the district-selected secondary-level test. </w:t>
            </w:r>
          </w:p>
          <w:p w14:paraId="02FE6F5B" w14:textId="77777777" w:rsidR="00553808" w:rsidRDefault="00553808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419F69" w14:textId="1E93905E" w:rsidR="00842006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3808">
              <w:t xml:space="preserve">H.B. </w:t>
            </w:r>
            <w:r>
              <w:t>764</w:t>
            </w:r>
            <w:r w:rsidR="00553808">
              <w:t xml:space="preserve"> requires the district-selected secondary-level test to be a secured test and requires the commissioner to </w:t>
            </w:r>
            <w:r w:rsidR="00553808" w:rsidRPr="009635D7">
              <w:t xml:space="preserve">contract with a vendor to administer the </w:t>
            </w:r>
            <w:r w:rsidR="00553808">
              <w:t>test</w:t>
            </w:r>
            <w:r w:rsidR="00553808" w:rsidRPr="009635D7">
              <w:t>, complete the scoring of the</w:t>
            </w:r>
            <w:r w:rsidR="00553808">
              <w:t xml:space="preserve"> test</w:t>
            </w:r>
            <w:r w:rsidR="00553808" w:rsidRPr="009635D7">
              <w:t xml:space="preserve">, and distribute </w:t>
            </w:r>
            <w:r w:rsidR="00553808">
              <w:t xml:space="preserve">the results to TEA </w:t>
            </w:r>
            <w:r w:rsidR="00553808" w:rsidRPr="009635D7">
              <w:t>and the relevant results to each district.</w:t>
            </w:r>
            <w:r w:rsidR="00553808">
              <w:t xml:space="preserve"> The bill requires the district to </w:t>
            </w:r>
            <w:r w:rsidR="00553808" w:rsidRPr="00691271">
              <w:t>distribute the relevant results to each district campus</w:t>
            </w:r>
            <w:r w:rsidR="00553808">
              <w:t xml:space="preserve"> and to </w:t>
            </w:r>
            <w:r w:rsidR="00553808" w:rsidRPr="00691271">
              <w:t>provide written notice to the student and the person standing in parental relation to the student that states the student's results and whether the student performed satisfactorily on the</w:t>
            </w:r>
            <w:r w:rsidR="00553808">
              <w:t xml:space="preserve"> test. </w:t>
            </w:r>
            <w:r w:rsidR="00553808" w:rsidRPr="00691271">
              <w:t>The bill removes the authorization for the SB</w:t>
            </w:r>
            <w:r w:rsidR="00553808">
              <w:t>O</w:t>
            </w:r>
            <w:r w:rsidR="00553808" w:rsidRPr="00691271">
              <w:t>E to adopt one appropriate, nationally recognized, norm-referenced test in reading and mathematics to be administered to a selected sample of students in the spring.</w:t>
            </w:r>
          </w:p>
          <w:p w14:paraId="24785A29" w14:textId="77777777" w:rsidR="00842006" w:rsidRDefault="00842006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02A808" w14:textId="1E16350D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00618">
              <w:t xml:space="preserve">H.B. </w:t>
            </w:r>
            <w:r>
              <w:t>764</w:t>
            </w:r>
            <w:r w:rsidR="00ED6BA4">
              <w:t xml:space="preserve"> requires the SBOE, if changes made to the federal Every Student Succeeds Act reduce the number or frequency of tests required to be administered to students, to adopt rules reducing </w:t>
            </w:r>
            <w:r w:rsidR="00ED6BA4" w:rsidRPr="00ED6BA4">
              <w:t xml:space="preserve">the number or frequency of </w:t>
            </w:r>
            <w:r w:rsidR="00C80BF4">
              <w:t xml:space="preserve">state-required </w:t>
            </w:r>
            <w:r w:rsidR="00ED6BA4">
              <w:t xml:space="preserve">tests </w:t>
            </w:r>
            <w:r w:rsidR="00ED6BA4" w:rsidRPr="00ED6BA4">
              <w:t xml:space="preserve">and </w:t>
            </w:r>
            <w:r w:rsidR="00ED6BA4">
              <w:t>requires the</w:t>
            </w:r>
            <w:r w:rsidR="00ED6BA4" w:rsidRPr="00ED6BA4">
              <w:t xml:space="preserve"> commissioner </w:t>
            </w:r>
            <w:r w:rsidR="00ED6BA4">
              <w:t>to</w:t>
            </w:r>
            <w:r w:rsidR="00ED6BA4" w:rsidRPr="00ED6BA4">
              <w:t xml:space="preserve"> ensure that students are not assessed in subject areas or in grades that are no longer required to meet the minimum </w:t>
            </w:r>
            <w:r w:rsidR="00C80BF4">
              <w:t xml:space="preserve">federal </w:t>
            </w:r>
            <w:r w:rsidR="00ED6BA4" w:rsidRPr="00ED6BA4">
              <w:t>requirements.</w:t>
            </w:r>
          </w:p>
          <w:p w14:paraId="5EF54107" w14:textId="1877B9D1" w:rsidR="00553808" w:rsidRDefault="00553808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CC9FB6" w14:textId="38B300FD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764 exempts </w:t>
            </w:r>
            <w:r w:rsidR="00C92A11">
              <w:t xml:space="preserve">a </w:t>
            </w:r>
            <w:r w:rsidR="003372F0">
              <w:t>nationally recognized, norm-referenced secondary-level</w:t>
            </w:r>
            <w:r>
              <w:t xml:space="preserve"> test</w:t>
            </w:r>
            <w:r w:rsidR="003372F0">
              <w:t xml:space="preserve"> </w:t>
            </w:r>
            <w:r w:rsidR="00C92A11">
              <w:t>selected</w:t>
            </w:r>
            <w:r w:rsidR="003372F0">
              <w:t xml:space="preserve"> by </w:t>
            </w:r>
            <w:r w:rsidR="00C92A11">
              <w:t>a</w:t>
            </w:r>
            <w:r w:rsidR="003372F0">
              <w:t xml:space="preserve"> district</w:t>
            </w:r>
            <w:r>
              <w:t xml:space="preserve"> from the requirement that TEA ensure </w:t>
            </w:r>
            <w:r w:rsidR="00C92A11">
              <w:t>that</w:t>
            </w:r>
            <w:r>
              <w:t xml:space="preserve"> tests </w:t>
            </w:r>
            <w:r w:rsidR="00C92A11">
              <w:t xml:space="preserve">required by the state </w:t>
            </w:r>
            <w:r>
              <w:t xml:space="preserve">are capable of being administered </w:t>
            </w:r>
            <w:r w:rsidR="00CF76BB">
              <w:t>electronically</w:t>
            </w:r>
            <w:r>
              <w:t xml:space="preserve">. The bill </w:t>
            </w:r>
            <w:r w:rsidR="003057E9">
              <w:t>requires</w:t>
            </w:r>
            <w:r>
              <w:t xml:space="preserve"> the commissioner </w:t>
            </w:r>
            <w:r w:rsidRPr="00302404">
              <w:t xml:space="preserve">by rule </w:t>
            </w:r>
            <w:r w:rsidR="009A194A">
              <w:t xml:space="preserve">to </w:t>
            </w:r>
            <w:r w:rsidRPr="00302404">
              <w:t xml:space="preserve">adopt a transition plan to implement the </w:t>
            </w:r>
            <w:r w:rsidR="009F6A8F">
              <w:t xml:space="preserve">replacement by the </w:t>
            </w:r>
            <w:r w:rsidR="00172E43">
              <w:t>bill</w:t>
            </w:r>
            <w:r w:rsidR="009F6A8F">
              <w:t xml:space="preserve"> </w:t>
            </w:r>
            <w:r>
              <w:t xml:space="preserve">of </w:t>
            </w:r>
            <w:r w:rsidRPr="00302404">
              <w:t xml:space="preserve">end-of-course </w:t>
            </w:r>
            <w:r>
              <w:t>tests</w:t>
            </w:r>
            <w:r w:rsidRPr="00302404">
              <w:t xml:space="preserve"> with</w:t>
            </w:r>
            <w:r w:rsidR="009A194A">
              <w:t xml:space="preserve"> one or more</w:t>
            </w:r>
            <w:r w:rsidRPr="00302404">
              <w:t xml:space="preserve"> </w:t>
            </w:r>
            <w:r>
              <w:t xml:space="preserve">district-selected </w:t>
            </w:r>
            <w:r w:rsidRPr="002316F4">
              <w:t>secondary-level</w:t>
            </w:r>
            <w:r>
              <w:t xml:space="preserve"> test</w:t>
            </w:r>
            <w:r w:rsidR="009A194A">
              <w:t>s</w:t>
            </w:r>
            <w:r>
              <w:t xml:space="preserve"> </w:t>
            </w:r>
            <w:r w:rsidR="003057E9" w:rsidRPr="003057E9">
              <w:t>beginning with students enrolled in the ninth grade for the first time during the 20</w:t>
            </w:r>
            <w:r>
              <w:t>21</w:t>
            </w:r>
            <w:r w:rsidR="003057E9" w:rsidRPr="003057E9">
              <w:t>-202</w:t>
            </w:r>
            <w:r>
              <w:t>2</w:t>
            </w:r>
            <w:r w:rsidR="003057E9" w:rsidRPr="003057E9">
              <w:t xml:space="preserve"> school year</w:t>
            </w:r>
            <w:r w:rsidR="00417034">
              <w:t>. The bill requires the commissioner</w:t>
            </w:r>
            <w:r w:rsidR="000A105F">
              <w:t xml:space="preserve"> </w:t>
            </w:r>
            <w:r w:rsidR="00740518">
              <w:t>to provide</w:t>
            </w:r>
            <w:r w:rsidR="000A105F">
              <w:t xml:space="preserve"> for the retention</w:t>
            </w:r>
            <w:r w:rsidR="00740518">
              <w:t>, administration, and use</w:t>
            </w:r>
            <w:r w:rsidR="000A105F">
              <w:t xml:space="preserve"> of end</w:t>
            </w:r>
            <w:r w:rsidR="00614F14">
              <w:noBreakHyphen/>
            </w:r>
            <w:r w:rsidR="000A105F">
              <w:t>of</w:t>
            </w:r>
            <w:r w:rsidR="00614F14">
              <w:noBreakHyphen/>
            </w:r>
            <w:r w:rsidR="000A105F">
              <w:t xml:space="preserve">course tests, as </w:t>
            </w:r>
            <w:r w:rsidR="00740518">
              <w:t>the applicable requirements</w:t>
            </w:r>
            <w:r w:rsidR="000A105F">
              <w:t xml:space="preserve"> existed before </w:t>
            </w:r>
            <w:r w:rsidR="009F6A8F">
              <w:t xml:space="preserve">their </w:t>
            </w:r>
            <w:r w:rsidR="000A105F">
              <w:t xml:space="preserve">amendment by the </w:t>
            </w:r>
            <w:r w:rsidR="00172E43">
              <w:t>bill</w:t>
            </w:r>
            <w:r w:rsidR="000A105F">
              <w:t xml:space="preserve">, as an alternative means of assessment </w:t>
            </w:r>
            <w:r w:rsidR="002B13C0">
              <w:t xml:space="preserve">and fulfilment of accountability requirements </w:t>
            </w:r>
            <w:r w:rsidR="000A105F">
              <w:t xml:space="preserve">for </w:t>
            </w:r>
            <w:r w:rsidR="003057E9">
              <w:t xml:space="preserve">students entering a </w:t>
            </w:r>
            <w:r w:rsidR="003057E9" w:rsidRPr="003057E9">
              <w:t xml:space="preserve">grade above the ninth grade </w:t>
            </w:r>
            <w:r w:rsidR="000A105F">
              <w:t xml:space="preserve">or </w:t>
            </w:r>
            <w:r w:rsidR="000A105F" w:rsidRPr="003057E9">
              <w:t xml:space="preserve">repeating ninth grade </w:t>
            </w:r>
            <w:r w:rsidR="003057E9" w:rsidRPr="003057E9">
              <w:t>during the 20</w:t>
            </w:r>
            <w:r w:rsidR="00417034">
              <w:t>21</w:t>
            </w:r>
            <w:r w:rsidR="003057E9" w:rsidRPr="003057E9">
              <w:t>-202</w:t>
            </w:r>
            <w:r w:rsidR="00417034">
              <w:t>2</w:t>
            </w:r>
            <w:r w:rsidR="003057E9" w:rsidRPr="003057E9">
              <w:t xml:space="preserve"> school year</w:t>
            </w:r>
            <w:r w:rsidR="001D3AFF">
              <w:t>.</w:t>
            </w:r>
            <w:r w:rsidR="003057E9" w:rsidRPr="003057E9">
              <w:t xml:space="preserve"> </w:t>
            </w:r>
            <w:r>
              <w:t>The bill requires</w:t>
            </w:r>
            <w:r>
              <w:t xml:space="preserve"> each district to </w:t>
            </w:r>
            <w:r w:rsidRPr="004650E0">
              <w:t xml:space="preserve">provide notice </w:t>
            </w:r>
            <w:r>
              <w:t>to an eighth</w:t>
            </w:r>
            <w:r w:rsidR="002D5A5A">
              <w:t>-</w:t>
            </w:r>
            <w:r>
              <w:t xml:space="preserve">grade student informing the student of </w:t>
            </w:r>
            <w:r w:rsidRPr="00F47307">
              <w:t xml:space="preserve">the specific requirements applicable to the student </w:t>
            </w:r>
            <w:r>
              <w:t xml:space="preserve">with regard to secondary-level testing and the level of performance required. </w:t>
            </w:r>
          </w:p>
          <w:p w14:paraId="2217A764" w14:textId="2EE5A539" w:rsidR="00553808" w:rsidRDefault="00553808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00467C" w14:textId="4110503D" w:rsidR="00744179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764 requires TEA to adopt </w:t>
            </w:r>
            <w:r w:rsidRPr="00744179">
              <w:t>alte</w:t>
            </w:r>
            <w:r w:rsidRPr="00744179">
              <w:t xml:space="preserve">rnative adaptive </w:t>
            </w:r>
            <w:r>
              <w:t>tests</w:t>
            </w:r>
            <w:r w:rsidRPr="00744179">
              <w:t xml:space="preserve"> </w:t>
            </w:r>
            <w:r>
              <w:t>that a</w:t>
            </w:r>
            <w:r w:rsidRPr="00744179">
              <w:t xml:space="preserve"> district may administer in lieu of a </w:t>
            </w:r>
            <w:r>
              <w:t xml:space="preserve">district-selected test </w:t>
            </w:r>
            <w:r w:rsidRPr="00744179">
              <w:t xml:space="preserve">to satisfy </w:t>
            </w:r>
            <w:r>
              <w:t xml:space="preserve">applicable </w:t>
            </w:r>
            <w:r w:rsidRPr="00744179">
              <w:t xml:space="preserve">state or federal law requirements </w:t>
            </w:r>
            <w:r>
              <w:t>and sets out requirements</w:t>
            </w:r>
            <w:r w:rsidR="00792F30">
              <w:t xml:space="preserve"> for such a</w:t>
            </w:r>
            <w:r>
              <w:t xml:space="preserve"> test. </w:t>
            </w:r>
            <w:r w:rsidR="004F5DB3">
              <w:t xml:space="preserve">The bill requires SBOE to annually review each alternative adaptive test to ensure that it is relevant, valid, and reliable. </w:t>
            </w:r>
            <w:r>
              <w:t xml:space="preserve">The bill authorizes </w:t>
            </w:r>
            <w:r w:rsidR="00CE1575">
              <w:t>TEA to adopt an alternative adaptive test submitted by a district if the test complies with those requirements and serves as an adequate measure of grade level achievement and to contract for services to develop or administer the tests. The</w:t>
            </w:r>
            <w:r w:rsidR="007A5B0D">
              <w:t xml:space="preserve"> bill requires TEA to determine</w:t>
            </w:r>
            <w:r w:rsidR="00CE1575">
              <w:t xml:space="preserve"> for each test the level of performance considered to be satisfactory and </w:t>
            </w:r>
            <w:r w:rsidR="007A5B0D">
              <w:t xml:space="preserve">to </w:t>
            </w:r>
            <w:r w:rsidR="00CE1575">
              <w:t>develop a method to compile a student's score on each test during a school year into a single summative score for each assessed subject area. The bill requires a district to administer the alternative adaptive test electronically and to submit the results of such a test</w:t>
            </w:r>
            <w:r w:rsidR="007A5B0D">
              <w:t xml:space="preserve"> to TEA </w:t>
            </w:r>
            <w:r w:rsidR="00CE1575">
              <w:t>not later than three days after</w:t>
            </w:r>
            <w:r w:rsidR="007A5B0D">
              <w:t xml:space="preserve"> the administration of the test</w:t>
            </w:r>
            <w:r w:rsidR="004F5DB3">
              <w:t xml:space="preserve"> </w:t>
            </w:r>
            <w:r w:rsidR="007A5B0D">
              <w:t xml:space="preserve">and requires TEA to provide reimbursement to a district for all costs associated with the administration of the test. </w:t>
            </w:r>
            <w:r w:rsidR="004F5DB3">
              <w:t>The bill establishes, with certain exceptions, that</w:t>
            </w:r>
            <w:r w:rsidR="004F5DB3" w:rsidRPr="004F5DB3">
              <w:t xml:space="preserve"> a reference in law to </w:t>
            </w:r>
            <w:r w:rsidR="004F5DB3">
              <w:t xml:space="preserve">a statewide standardized test under applicable statutory provisions </w:t>
            </w:r>
            <w:r w:rsidR="004F5DB3" w:rsidRPr="004F5DB3">
              <w:t xml:space="preserve">includes an alternative adaptive </w:t>
            </w:r>
            <w:r w:rsidR="004F5DB3">
              <w:t>test</w:t>
            </w:r>
            <w:r w:rsidR="004F5DB3" w:rsidRPr="004F5DB3">
              <w:t xml:space="preserve"> adopted by </w:t>
            </w:r>
            <w:r w:rsidR="00A138C9">
              <w:t>TEA</w:t>
            </w:r>
            <w:r w:rsidR="004F5DB3" w:rsidRPr="004F5DB3">
              <w:t xml:space="preserve"> or admin</w:t>
            </w:r>
            <w:r w:rsidR="007A5B0D">
              <w:t>istered by a</w:t>
            </w:r>
            <w:r w:rsidR="004F5DB3" w:rsidRPr="004F5DB3">
              <w:t xml:space="preserve"> district in accordance with </w:t>
            </w:r>
            <w:r w:rsidR="004F5DB3">
              <w:t>the bill's provisions.</w:t>
            </w:r>
            <w:r w:rsidR="00DE25DB">
              <w:t xml:space="preserve"> </w:t>
            </w:r>
            <w:r w:rsidR="002E428D">
              <w:t>The bill requires the commissioner to adopt rules necessary to implement these provisions</w:t>
            </w:r>
            <w:r w:rsidR="00CE5F11">
              <w:t xml:space="preserve">. </w:t>
            </w:r>
            <w:r w:rsidR="00DE25DB">
              <w:t xml:space="preserve">The bill's provisions relating to alternative adaptive tests apply beginning with the 2022-2023 school year. </w:t>
            </w:r>
          </w:p>
          <w:p w14:paraId="06FA6A5F" w14:textId="77777777" w:rsidR="00744179" w:rsidRDefault="00744179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7D697F" w14:textId="35ACEAA5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764 entitles a student participating in the pilot program for the three-year high school diploma plan and </w:t>
            </w:r>
            <w:r w:rsidRPr="000C791B">
              <w:t xml:space="preserve">entering the ninth grade </w:t>
            </w:r>
            <w:r w:rsidR="007D421E">
              <w:t xml:space="preserve">for the first time </w:t>
            </w:r>
            <w:r w:rsidRPr="000C791B">
              <w:t xml:space="preserve">during the </w:t>
            </w:r>
            <w:r>
              <w:t>2021-2022</w:t>
            </w:r>
            <w:r w:rsidRPr="000C791B">
              <w:t xml:space="preserve"> school year</w:t>
            </w:r>
            <w:r>
              <w:t xml:space="preserve"> to </w:t>
            </w:r>
            <w:r w:rsidRPr="000C791B">
              <w:t>a high school diploma if the student</w:t>
            </w:r>
            <w:r>
              <w:t xml:space="preserve">, among other requirements, </w:t>
            </w:r>
            <w:r w:rsidRPr="000C791B">
              <w:t>performs satisfactorily as determined by the commissioner</w:t>
            </w:r>
            <w:r>
              <w:t xml:space="preserve"> </w:t>
            </w:r>
            <w:r w:rsidRPr="000C791B">
              <w:t xml:space="preserve">on </w:t>
            </w:r>
            <w:r>
              <w:t>the district-selected secondary-level test. The bil</w:t>
            </w:r>
            <w:r>
              <w:t>l entitle</w:t>
            </w:r>
            <w:r w:rsidR="00353EA3">
              <w:t xml:space="preserve">s </w:t>
            </w:r>
            <w:r>
              <w:t>any other student participating in the pilot program to a high school diploma if the student, among other requirements, performs satisfactorily on end</w:t>
            </w:r>
            <w:r w:rsidR="00DF65B1">
              <w:noBreakHyphen/>
            </w:r>
            <w:r>
              <w:t>of</w:t>
            </w:r>
            <w:r w:rsidR="00DF65B1">
              <w:noBreakHyphen/>
            </w:r>
            <w:r>
              <w:t xml:space="preserve">course tests, as those tests existed before replacement by the </w:t>
            </w:r>
            <w:r w:rsidR="00AC15DF">
              <w:t>bill</w:t>
            </w:r>
            <w:r>
              <w:t>,</w:t>
            </w:r>
            <w:r w:rsidRPr="000E6E4A">
              <w:t xml:space="preserve"> for courses in which t</w:t>
            </w:r>
            <w:r w:rsidRPr="000E6E4A">
              <w:t>he student was enrolled.</w:t>
            </w:r>
            <w:r>
              <w:t xml:space="preserve"> </w:t>
            </w:r>
          </w:p>
          <w:p w14:paraId="25DA21B0" w14:textId="5D6245E0" w:rsidR="0001733A" w:rsidRDefault="0001733A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1F9278" w14:textId="34081EF8" w:rsidR="0001733A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764 </w:t>
            </w:r>
            <w:r w:rsidR="00F96CEC">
              <w:t xml:space="preserve">requires an individual graduation committee, for </w:t>
            </w:r>
            <w:r>
              <w:t>an 11th or 12</w:t>
            </w:r>
            <w:r w:rsidR="007D421E">
              <w:t>th</w:t>
            </w:r>
            <w:r>
              <w:t xml:space="preserve"> grade student who has failed to comply with </w:t>
            </w:r>
            <w:r w:rsidR="00F96CEC">
              <w:t>end-of-course test performance requirements</w:t>
            </w:r>
            <w:r w:rsidR="00AC15DF">
              <w:t>,</w:t>
            </w:r>
            <w:r w:rsidR="00F96CEC">
              <w:t xml:space="preserve"> as the requirement</w:t>
            </w:r>
            <w:r w:rsidR="00AC15DF">
              <w:t>s existed before</w:t>
            </w:r>
            <w:r w:rsidR="00F96CEC">
              <w:t xml:space="preserve"> amendment by the bill, to include </w:t>
            </w:r>
            <w:r w:rsidR="00AC15DF">
              <w:t xml:space="preserve">on the committee </w:t>
            </w:r>
            <w:r w:rsidR="00F96CEC">
              <w:t xml:space="preserve">the teacher of the course for each end-of-course test for which the student failed to perform satisfactorily and to consider that teacher's recommendation and the applicable course grade </w:t>
            </w:r>
            <w:r w:rsidR="00AC15DF">
              <w:t xml:space="preserve">in </w:t>
            </w:r>
            <w:r w:rsidR="00F96CEC">
              <w:t>determining whether the student is qualified to graduate. The bill's provisions relating to individual graduation committees expire</w:t>
            </w:r>
            <w:r w:rsidR="00ED350C">
              <w:t xml:space="preserve"> September 1</w:t>
            </w:r>
            <w:r w:rsidR="00F96CEC">
              <w:t>, 2025.</w:t>
            </w:r>
          </w:p>
          <w:p w14:paraId="6644E029" w14:textId="77777777" w:rsidR="00553808" w:rsidRDefault="00553808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27EC0E" w14:textId="29E317BE" w:rsidR="002C16E7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3808">
              <w:t xml:space="preserve">H.B. </w:t>
            </w:r>
            <w:r>
              <w:t>764</w:t>
            </w:r>
            <w:r w:rsidR="00553808">
              <w:t xml:space="preserve"> continues a person's eligibility </w:t>
            </w:r>
            <w:r w:rsidR="00553808" w:rsidRPr="00F07FFC">
              <w:t xml:space="preserve">to enroll in a dropout recovery program </w:t>
            </w:r>
            <w:r>
              <w:t>if the person</w:t>
            </w:r>
            <w:r w:rsidR="00553808" w:rsidRPr="00F07FFC">
              <w:t xml:space="preserve"> </w:t>
            </w:r>
            <w:r w:rsidR="00553808">
              <w:t>fail</w:t>
            </w:r>
            <w:r>
              <w:t>s</w:t>
            </w:r>
            <w:r w:rsidR="00553808">
              <w:t xml:space="preserve"> to </w:t>
            </w:r>
            <w:r w:rsidR="00553808" w:rsidRPr="00546DCD">
              <w:t>perform satisfactorily on</w:t>
            </w:r>
            <w:r w:rsidR="00553808">
              <w:t xml:space="preserve"> an </w:t>
            </w:r>
            <w:r w:rsidR="00553808" w:rsidRPr="00F07FFC">
              <w:t xml:space="preserve">end-of-course </w:t>
            </w:r>
            <w:r w:rsidR="00553808">
              <w:t>test</w:t>
            </w:r>
            <w:r w:rsidR="00553808" w:rsidRPr="00F07FFC">
              <w:t xml:space="preserve">, as such a test </w:t>
            </w:r>
            <w:r w:rsidR="00553808" w:rsidRPr="00546DCD">
              <w:t xml:space="preserve">existed before </w:t>
            </w:r>
            <w:r w:rsidR="00553808" w:rsidRPr="00F07FFC">
              <w:t xml:space="preserve">replacement </w:t>
            </w:r>
            <w:r w:rsidR="00553808">
              <w:t>by the bill.</w:t>
            </w:r>
            <w:r w:rsidR="00ED350C">
              <w:t xml:space="preserve"> The bill specifies that an exemption to requirements under the Texas Success Initiative applies to a student's achievement on end-of-course tests, as those requirements existed before repeal by the bill.</w:t>
            </w:r>
            <w:r w:rsidR="00553808">
              <w:t xml:space="preserve"> </w:t>
            </w:r>
            <w:r w:rsidR="00C70957">
              <w:t xml:space="preserve">The bill removes social studies </w:t>
            </w:r>
            <w:r w:rsidR="00966FFB">
              <w:t>as a subject in which</w:t>
            </w:r>
            <w:r w:rsidR="00DC5D28">
              <w:t xml:space="preserve"> a campus </w:t>
            </w:r>
            <w:r w:rsidR="00966FFB" w:rsidRPr="00071681">
              <w:t>may be</w:t>
            </w:r>
            <w:r w:rsidR="00966FFB">
              <w:t xml:space="preserve"> awarded </w:t>
            </w:r>
            <w:r w:rsidR="00DC5D28">
              <w:t xml:space="preserve">a distinction designation for outstanding performance in academic achievement. </w:t>
            </w:r>
          </w:p>
          <w:p w14:paraId="43191DD4" w14:textId="77777777" w:rsidR="002C16E7" w:rsidRDefault="002C16E7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662B8C" w14:textId="1D8EB6CE" w:rsidR="00D67B01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3808">
              <w:t xml:space="preserve">H.B. </w:t>
            </w:r>
            <w:r>
              <w:t>764</w:t>
            </w:r>
            <w:r w:rsidR="00553808">
              <w:t xml:space="preserve"> repeals </w:t>
            </w:r>
            <w:r w:rsidR="0089340E">
              <w:t>a</w:t>
            </w:r>
            <w:r w:rsidR="00E736CE">
              <w:t xml:space="preserve"> </w:t>
            </w:r>
            <w:r w:rsidR="00553808">
              <w:t xml:space="preserve">provision </w:t>
            </w:r>
            <w:r w:rsidR="00350FDC">
              <w:t>specifying</w:t>
            </w:r>
            <w:r w:rsidR="00E87EA0">
              <w:t>, with regard to accountability reporting requirements,</w:t>
            </w:r>
            <w:r w:rsidR="00350FDC">
              <w:t xml:space="preserve"> </w:t>
            </w:r>
            <w:r w:rsidR="00E736CE">
              <w:t>the</w:t>
            </w:r>
            <w:r w:rsidR="00553808">
              <w:t xml:space="preserve"> </w:t>
            </w:r>
            <w:r w:rsidR="00E736CE">
              <w:t xml:space="preserve">manner of categorizing </w:t>
            </w:r>
            <w:r w:rsidR="00553808">
              <w:t xml:space="preserve">the results </w:t>
            </w:r>
            <w:r w:rsidR="00350FDC">
              <w:t xml:space="preserve">on a secondary-level test </w:t>
            </w:r>
            <w:r w:rsidR="00553808">
              <w:t xml:space="preserve">of a student </w:t>
            </w:r>
            <w:r w:rsidR="00350FDC">
              <w:t xml:space="preserve">who is </w:t>
            </w:r>
            <w:r w:rsidR="00553808">
              <w:t xml:space="preserve">enrolled below the high school level </w:t>
            </w:r>
            <w:r w:rsidR="00350FDC">
              <w:t xml:space="preserve">for </w:t>
            </w:r>
            <w:r w:rsidR="00E736CE">
              <w:t xml:space="preserve">purposes of </w:t>
            </w:r>
            <w:r w:rsidR="00350FDC">
              <w:t>data aggregation</w:t>
            </w:r>
            <w:r w:rsidR="00E87EA0">
              <w:t xml:space="preserve"> across grade levels</w:t>
            </w:r>
            <w:r w:rsidR="00E736CE">
              <w:t>.</w:t>
            </w:r>
            <w:r w:rsidR="00350FDC">
              <w:t xml:space="preserve"> </w:t>
            </w:r>
          </w:p>
          <w:p w14:paraId="358EFEE3" w14:textId="77777777" w:rsidR="00D67B01" w:rsidRDefault="00D67B01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5531AB" w14:textId="7A52F90F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67B01">
              <w:t xml:space="preserve">H.B. </w:t>
            </w:r>
            <w:r>
              <w:t>764</w:t>
            </w:r>
            <w:r w:rsidR="00D67B01">
              <w:t xml:space="preserve"> applies </w:t>
            </w:r>
            <w:r w:rsidRPr="00AC7DCE">
              <w:t xml:space="preserve">beginning with the </w:t>
            </w:r>
            <w:r w:rsidR="00350FDC">
              <w:t>20</w:t>
            </w:r>
            <w:r>
              <w:t>21</w:t>
            </w:r>
            <w:r w:rsidR="00350FDC">
              <w:t>-202</w:t>
            </w:r>
            <w:r>
              <w:t>2</w:t>
            </w:r>
            <w:r w:rsidRPr="00AC7DCE">
              <w:t xml:space="preserve"> sch</w:t>
            </w:r>
            <w:r w:rsidRPr="00AC7DCE">
              <w:t>ool year</w:t>
            </w:r>
            <w:r>
              <w:t>, except as otherwise provided</w:t>
            </w:r>
            <w:r w:rsidRPr="00AC7DCE">
              <w:t>.</w:t>
            </w:r>
            <w:r>
              <w:t xml:space="preserve">   </w:t>
            </w:r>
          </w:p>
          <w:p w14:paraId="2F5F16EF" w14:textId="77777777" w:rsidR="00553808" w:rsidRDefault="00553808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FF8FEF" w14:textId="5C29B207" w:rsidR="00553808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764 repeals the following provisions of the Education Code:</w:t>
            </w:r>
          </w:p>
          <w:p w14:paraId="7526FC6E" w14:textId="254F57B0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36379">
              <w:t>Sections 39.023</w:t>
            </w:r>
            <w:r w:rsidR="007C56DF">
              <w:t xml:space="preserve">(a-15), </w:t>
            </w:r>
            <w:r w:rsidRPr="00536379">
              <w:t>(c-2), (c-4), (c</w:t>
            </w:r>
            <w:r>
              <w:t>-6), and (d)</w:t>
            </w:r>
            <w:r w:rsidR="007C56DF">
              <w:t>;</w:t>
            </w:r>
          </w:p>
          <w:p w14:paraId="6FE3BC92" w14:textId="483512ED" w:rsidR="007C56DF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39.023(c-7), as added by Chapter 1282 (H.B. 1244), Acts of the 86th Legis</w:t>
            </w:r>
            <w:r w:rsidR="007E24E2">
              <w:t>lature, Regular Session, 2019;</w:t>
            </w:r>
          </w:p>
          <w:p w14:paraId="3DAF6E7E" w14:textId="3614CD41" w:rsidR="007C56DF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39.023(c-7), as added by Chapter 1315 (H.B. 3906), Acts of the 86th Legi</w:t>
            </w:r>
            <w:r w:rsidR="007E24E2">
              <w:t>slature, Regular Session, 2019;</w:t>
            </w:r>
          </w:p>
          <w:p w14:paraId="73AEF402" w14:textId="61ED523B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36379">
              <w:t>Section 39</w:t>
            </w:r>
            <w:r>
              <w:t>.0233</w:t>
            </w:r>
            <w:r w:rsidR="00B2281F">
              <w:t>;</w:t>
            </w:r>
          </w:p>
          <w:p w14:paraId="19D3D61B" w14:textId="326F866F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36379">
              <w:t>Section 39.024</w:t>
            </w:r>
            <w:r w:rsidR="00B2281F">
              <w:t>;</w:t>
            </w:r>
            <w:r>
              <w:t xml:space="preserve"> </w:t>
            </w:r>
          </w:p>
          <w:p w14:paraId="7943218C" w14:textId="4E728A32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Sections 39.025(a-1)</w:t>
            </w:r>
            <w:r w:rsidR="00B2281F">
              <w:t>, (a-2), (a-3), (a-5),</w:t>
            </w:r>
            <w:r>
              <w:t xml:space="preserve"> and (e-1)</w:t>
            </w:r>
            <w:r w:rsidR="00B2281F">
              <w:t>;</w:t>
            </w:r>
          </w:p>
          <w:p w14:paraId="1F6AE51B" w14:textId="1D3A4EBB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36379">
              <w:t>Section 39.0</w:t>
            </w:r>
            <w:r>
              <w:t>53(d-1)</w:t>
            </w:r>
            <w:r w:rsidR="00B2281F">
              <w:t>; and</w:t>
            </w:r>
          </w:p>
          <w:p w14:paraId="62E4105A" w14:textId="7539B7FD" w:rsidR="00553808" w:rsidRDefault="0061593C" w:rsidP="00910F0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Section </w:t>
            </w:r>
            <w:r>
              <w:t>39.203(d)</w:t>
            </w:r>
            <w:r w:rsidR="00B2281F">
              <w:t>.</w:t>
            </w:r>
          </w:p>
          <w:p w14:paraId="62543AD7" w14:textId="4AC42D39" w:rsidR="00553808" w:rsidRPr="00835628" w:rsidRDefault="0061593C" w:rsidP="00910F0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014107" w14:paraId="217E857C" w14:textId="77777777" w:rsidTr="00345119">
        <w:tc>
          <w:tcPr>
            <w:tcW w:w="9576" w:type="dxa"/>
          </w:tcPr>
          <w:p w14:paraId="541B0BCF" w14:textId="77777777" w:rsidR="00553808" w:rsidRPr="00A8133F" w:rsidRDefault="0061593C" w:rsidP="00910F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A0EB3A" w14:textId="77777777" w:rsidR="00553808" w:rsidRDefault="00553808" w:rsidP="00910F0E"/>
          <w:p w14:paraId="346CE08B" w14:textId="1B2C91D5" w:rsidR="00553808" w:rsidRPr="003624F2" w:rsidRDefault="0061593C" w:rsidP="00910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 w:rsidR="00B2281F">
              <w:t>21</w:t>
            </w:r>
            <w:r>
              <w:t>.</w:t>
            </w:r>
          </w:p>
          <w:p w14:paraId="4FEF117B" w14:textId="77777777" w:rsidR="00553808" w:rsidRPr="00233FDB" w:rsidRDefault="00553808" w:rsidP="00910F0E">
            <w:pPr>
              <w:rPr>
                <w:b/>
              </w:rPr>
            </w:pPr>
          </w:p>
        </w:tc>
      </w:tr>
      <w:tr w:rsidR="00014107" w14:paraId="43715017" w14:textId="77777777" w:rsidTr="00345119">
        <w:tc>
          <w:tcPr>
            <w:tcW w:w="9576" w:type="dxa"/>
          </w:tcPr>
          <w:p w14:paraId="417231E8" w14:textId="4DFDEBAA" w:rsidR="00B806A3" w:rsidRPr="00B806A3" w:rsidRDefault="0061593C" w:rsidP="00910F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65FA9583" w14:textId="77777777" w:rsidR="007527E6" w:rsidRDefault="007527E6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B5B549" w14:textId="48259CBB" w:rsidR="00B806A3" w:rsidRDefault="0061593C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While C.S.H.B. 764</w:t>
            </w:r>
            <w:r w:rsidRPr="00B806A3">
              <w:rPr>
                <w:rFonts w:ascii="Times New Roman" w:hAnsi="Times New Roman" w:cs="Times New Roman"/>
                <w:sz w:val="24"/>
              </w:rPr>
              <w:t xml:space="preserve"> may differ from the original in minor or nonsubstantive ways, the following summarizes the substantial differences between the introduced and committee substitute versions of the bill.</w:t>
            </w:r>
          </w:p>
          <w:p w14:paraId="094FA2D6" w14:textId="0F23F916" w:rsidR="00B806A3" w:rsidRDefault="00B806A3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1784A6" w14:textId="2860C5B0" w:rsidR="00B806A3" w:rsidRDefault="0061593C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substitute </w:t>
            </w:r>
            <w:r w:rsidR="00216509">
              <w:rPr>
                <w:rFonts w:ascii="Times New Roman" w:hAnsi="Times New Roman" w:cs="Times New Roman"/>
                <w:sz w:val="24"/>
              </w:rPr>
              <w:t xml:space="preserve">does not include a provision including the Texas Success Initiative diagnostic assessment, the PSAT, and the ACT-Plan among </w:t>
            </w:r>
            <w:r w:rsidR="00DE25DB">
              <w:rPr>
                <w:rFonts w:ascii="Times New Roman" w:hAnsi="Times New Roman" w:cs="Times New Roman"/>
                <w:sz w:val="24"/>
              </w:rPr>
              <w:t>the test options for which the commissioner must identify a procedure for district selection.</w:t>
            </w:r>
          </w:p>
          <w:p w14:paraId="238CC0F7" w14:textId="4FC72E73" w:rsidR="00DE25DB" w:rsidRDefault="00DE25DB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4DD163" w14:textId="402371A6" w:rsidR="00DE25DB" w:rsidRDefault="0061593C" w:rsidP="00910F0E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sz w:val="24"/>
              </w:rPr>
              <w:t>The substitute includes provisions not contained in the original relating to alternat</w:t>
            </w:r>
            <w:r>
              <w:rPr>
                <w:rFonts w:ascii="Times New Roman" w:hAnsi="Times New Roman" w:cs="Times New Roman"/>
                <w:sz w:val="24"/>
              </w:rPr>
              <w:t xml:space="preserve">ive adaptive tests adopted by TEA that a district may administer. </w:t>
            </w:r>
          </w:p>
          <w:p w14:paraId="0B922F58" w14:textId="0F5826AA" w:rsidR="00B806A3" w:rsidRPr="00B806A3" w:rsidRDefault="00B806A3" w:rsidP="00910F0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</w:rPr>
            </w:pPr>
          </w:p>
          <w:p w14:paraId="5378FE78" w14:textId="5FB30338" w:rsidR="00591EC8" w:rsidRDefault="00591EC8" w:rsidP="00910F0E">
            <w:pPr>
              <w:pStyle w:val="HTMLPreformatted"/>
              <w:shd w:val="clear" w:color="auto" w:fill="FFFFFF"/>
              <w:ind w:firstLine="2280"/>
              <w:rPr>
                <w:rFonts w:ascii="Consolas" w:hAnsi="Consolas"/>
                <w:color w:val="333333"/>
              </w:rPr>
            </w:pPr>
          </w:p>
          <w:p w14:paraId="0CD60657" w14:textId="77777777" w:rsidR="00591EC8" w:rsidRDefault="00591EC8" w:rsidP="00910F0E">
            <w:pPr>
              <w:jc w:val="both"/>
              <w:rPr>
                <w:b/>
                <w:u w:val="single"/>
              </w:rPr>
            </w:pPr>
          </w:p>
          <w:p w14:paraId="41A71F87" w14:textId="308A80AE" w:rsidR="00F046E7" w:rsidRPr="00F046E7" w:rsidRDefault="00F046E7" w:rsidP="00910F0E">
            <w:pPr>
              <w:jc w:val="both"/>
              <w:rPr>
                <w:b/>
                <w:u w:val="single"/>
              </w:rPr>
            </w:pPr>
          </w:p>
        </w:tc>
      </w:tr>
      <w:tr w:rsidR="00014107" w14:paraId="5AA28426" w14:textId="77777777" w:rsidTr="00345119">
        <w:tc>
          <w:tcPr>
            <w:tcW w:w="9576" w:type="dxa"/>
          </w:tcPr>
          <w:p w14:paraId="304B7A60" w14:textId="77777777" w:rsidR="00F046E7" w:rsidRPr="009C1E9A" w:rsidRDefault="00F046E7" w:rsidP="00910F0E">
            <w:pPr>
              <w:rPr>
                <w:b/>
                <w:u w:val="single"/>
              </w:rPr>
            </w:pPr>
          </w:p>
        </w:tc>
      </w:tr>
      <w:tr w:rsidR="00014107" w14:paraId="7E2CB2B5" w14:textId="77777777" w:rsidTr="00345119">
        <w:tc>
          <w:tcPr>
            <w:tcW w:w="9576" w:type="dxa"/>
          </w:tcPr>
          <w:p w14:paraId="2E2FE338" w14:textId="77777777" w:rsidR="00F046E7" w:rsidRPr="00F046E7" w:rsidRDefault="00F046E7" w:rsidP="00910F0E">
            <w:pPr>
              <w:jc w:val="both"/>
            </w:pPr>
          </w:p>
        </w:tc>
      </w:tr>
    </w:tbl>
    <w:p w14:paraId="0DD3ABCF" w14:textId="77777777" w:rsidR="008423E4" w:rsidRPr="00BE0E75" w:rsidRDefault="008423E4" w:rsidP="00910F0E">
      <w:pPr>
        <w:jc w:val="both"/>
        <w:rPr>
          <w:rFonts w:ascii="Arial" w:hAnsi="Arial"/>
          <w:sz w:val="16"/>
          <w:szCs w:val="16"/>
        </w:rPr>
      </w:pPr>
    </w:p>
    <w:p w14:paraId="0C72DBCD" w14:textId="77777777" w:rsidR="004108C3" w:rsidRPr="008423E4" w:rsidRDefault="004108C3" w:rsidP="00910F0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2DCE" w14:textId="77777777" w:rsidR="00000000" w:rsidRDefault="0061593C">
      <w:r>
        <w:separator/>
      </w:r>
    </w:p>
  </w:endnote>
  <w:endnote w:type="continuationSeparator" w:id="0">
    <w:p w14:paraId="5982950C" w14:textId="77777777" w:rsidR="00000000" w:rsidRDefault="0061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D74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14107" w14:paraId="2C7B458A" w14:textId="77777777" w:rsidTr="009C1E9A">
      <w:trPr>
        <w:cantSplit/>
      </w:trPr>
      <w:tc>
        <w:tcPr>
          <w:tcW w:w="0" w:type="pct"/>
        </w:tcPr>
        <w:p w14:paraId="58BEE6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8BA9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03E8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0707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BD12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4107" w14:paraId="441217E9" w14:textId="77777777" w:rsidTr="009C1E9A">
      <w:trPr>
        <w:cantSplit/>
      </w:trPr>
      <w:tc>
        <w:tcPr>
          <w:tcW w:w="0" w:type="pct"/>
        </w:tcPr>
        <w:p w14:paraId="102789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573FE" w14:textId="61716470" w:rsidR="00EC379B" w:rsidRPr="009C1E9A" w:rsidRDefault="0061593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21644</w:t>
          </w:r>
        </w:p>
      </w:tc>
      <w:tc>
        <w:tcPr>
          <w:tcW w:w="2453" w:type="pct"/>
        </w:tcPr>
        <w:p w14:paraId="189FC33F" w14:textId="36421418" w:rsidR="00EC379B" w:rsidRDefault="006159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0F0E">
            <w:t>21.113.1719</w:t>
          </w:r>
          <w:r>
            <w:fldChar w:fldCharType="end"/>
          </w:r>
        </w:p>
      </w:tc>
    </w:tr>
    <w:tr w:rsidR="00014107" w14:paraId="4D018975" w14:textId="77777777" w:rsidTr="009C1E9A">
      <w:trPr>
        <w:cantSplit/>
      </w:trPr>
      <w:tc>
        <w:tcPr>
          <w:tcW w:w="0" w:type="pct"/>
        </w:tcPr>
        <w:p w14:paraId="052C1F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B52A3D" w14:textId="036E02E4" w:rsidR="00EC379B" w:rsidRPr="009C1E9A" w:rsidRDefault="0061593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87R </w:t>
          </w:r>
          <w:r>
            <w:rPr>
              <w:rFonts w:ascii="Shruti" w:hAnsi="Shruti"/>
              <w:sz w:val="22"/>
            </w:rPr>
            <w:t>19422</w:t>
          </w:r>
        </w:p>
      </w:tc>
      <w:tc>
        <w:tcPr>
          <w:tcW w:w="2453" w:type="pct"/>
        </w:tcPr>
        <w:p w14:paraId="292229A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A578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4107" w14:paraId="520752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031F2D" w14:textId="4BF3333E" w:rsidR="00EC379B" w:rsidRDefault="0061593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527E6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45CFDA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039A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A2A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A597" w14:textId="77777777" w:rsidR="00000000" w:rsidRDefault="0061593C">
      <w:r>
        <w:separator/>
      </w:r>
    </w:p>
  </w:footnote>
  <w:footnote w:type="continuationSeparator" w:id="0">
    <w:p w14:paraId="0DE02619" w14:textId="77777777" w:rsidR="00000000" w:rsidRDefault="0061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4F4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5FC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84D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73D7"/>
    <w:multiLevelType w:val="hybridMultilevel"/>
    <w:tmpl w:val="C0E8F722"/>
    <w:lvl w:ilvl="0" w:tplc="46B85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8F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0D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A2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6E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8D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C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45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C1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5B48"/>
    <w:multiLevelType w:val="hybridMultilevel"/>
    <w:tmpl w:val="3B603B8C"/>
    <w:lvl w:ilvl="0" w:tplc="28440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61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EF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4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AC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6B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A7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2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3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107"/>
    <w:rsid w:val="00014AF0"/>
    <w:rsid w:val="000155D6"/>
    <w:rsid w:val="00015D4E"/>
    <w:rsid w:val="0001733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681"/>
    <w:rsid w:val="00071C70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05F"/>
    <w:rsid w:val="000A4893"/>
    <w:rsid w:val="000A54E0"/>
    <w:rsid w:val="000A72C4"/>
    <w:rsid w:val="000B1486"/>
    <w:rsid w:val="000B3E61"/>
    <w:rsid w:val="000B54AF"/>
    <w:rsid w:val="000B6090"/>
    <w:rsid w:val="000B6FEE"/>
    <w:rsid w:val="000B718F"/>
    <w:rsid w:val="000C12C4"/>
    <w:rsid w:val="000C49DA"/>
    <w:rsid w:val="000C4B3D"/>
    <w:rsid w:val="000C6DC1"/>
    <w:rsid w:val="000C6E20"/>
    <w:rsid w:val="000C76D7"/>
    <w:rsid w:val="000C791B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E4A"/>
    <w:rsid w:val="000E7C14"/>
    <w:rsid w:val="000F094C"/>
    <w:rsid w:val="000F18A2"/>
    <w:rsid w:val="000F28BB"/>
    <w:rsid w:val="000F2A7F"/>
    <w:rsid w:val="000F3DBD"/>
    <w:rsid w:val="000F5843"/>
    <w:rsid w:val="000F6A06"/>
    <w:rsid w:val="0010154D"/>
    <w:rsid w:val="001026DA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2AF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3CE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E43"/>
    <w:rsid w:val="0017347B"/>
    <w:rsid w:val="0017725B"/>
    <w:rsid w:val="0018050C"/>
    <w:rsid w:val="0018117F"/>
    <w:rsid w:val="0018136C"/>
    <w:rsid w:val="001824ED"/>
    <w:rsid w:val="00183262"/>
    <w:rsid w:val="00184B03"/>
    <w:rsid w:val="00185C59"/>
    <w:rsid w:val="00187C1B"/>
    <w:rsid w:val="001908AC"/>
    <w:rsid w:val="00190CFB"/>
    <w:rsid w:val="00191CF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AFF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618"/>
    <w:rsid w:val="00200B9E"/>
    <w:rsid w:val="00200BF5"/>
    <w:rsid w:val="002010D1"/>
    <w:rsid w:val="00201338"/>
    <w:rsid w:val="0020775D"/>
    <w:rsid w:val="002116DD"/>
    <w:rsid w:val="0021383D"/>
    <w:rsid w:val="00216509"/>
    <w:rsid w:val="00216BBA"/>
    <w:rsid w:val="00216E12"/>
    <w:rsid w:val="00217466"/>
    <w:rsid w:val="0021751D"/>
    <w:rsid w:val="00217C49"/>
    <w:rsid w:val="0022177D"/>
    <w:rsid w:val="00223C8C"/>
    <w:rsid w:val="00224C37"/>
    <w:rsid w:val="002304DF"/>
    <w:rsid w:val="002316F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1D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D05"/>
    <w:rsid w:val="00277434"/>
    <w:rsid w:val="00280123"/>
    <w:rsid w:val="00281343"/>
    <w:rsid w:val="00281883"/>
    <w:rsid w:val="00285A42"/>
    <w:rsid w:val="002863A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3C0"/>
    <w:rsid w:val="002B26DD"/>
    <w:rsid w:val="002B2870"/>
    <w:rsid w:val="002B391B"/>
    <w:rsid w:val="002B5B42"/>
    <w:rsid w:val="002B7BA7"/>
    <w:rsid w:val="002C16E7"/>
    <w:rsid w:val="002C1C17"/>
    <w:rsid w:val="002C3203"/>
    <w:rsid w:val="002C3B07"/>
    <w:rsid w:val="002C532B"/>
    <w:rsid w:val="002C5713"/>
    <w:rsid w:val="002D05CC"/>
    <w:rsid w:val="002D305A"/>
    <w:rsid w:val="002D5A5A"/>
    <w:rsid w:val="002D7D5E"/>
    <w:rsid w:val="002E0022"/>
    <w:rsid w:val="002E21B8"/>
    <w:rsid w:val="002E428D"/>
    <w:rsid w:val="002E7DF9"/>
    <w:rsid w:val="002F097B"/>
    <w:rsid w:val="002F3111"/>
    <w:rsid w:val="002F4AEC"/>
    <w:rsid w:val="002F6CCD"/>
    <w:rsid w:val="002F7515"/>
    <w:rsid w:val="002F7579"/>
    <w:rsid w:val="002F795D"/>
    <w:rsid w:val="00300823"/>
    <w:rsid w:val="00300D7F"/>
    <w:rsid w:val="00301638"/>
    <w:rsid w:val="00302404"/>
    <w:rsid w:val="00303B0C"/>
    <w:rsid w:val="0030459C"/>
    <w:rsid w:val="003057E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096"/>
    <w:rsid w:val="00327A0E"/>
    <w:rsid w:val="003305F5"/>
    <w:rsid w:val="00333930"/>
    <w:rsid w:val="00336BA4"/>
    <w:rsid w:val="00336C7A"/>
    <w:rsid w:val="003372F0"/>
    <w:rsid w:val="00337392"/>
    <w:rsid w:val="00337659"/>
    <w:rsid w:val="003427C9"/>
    <w:rsid w:val="00343A92"/>
    <w:rsid w:val="00344530"/>
    <w:rsid w:val="003446DC"/>
    <w:rsid w:val="00347B4A"/>
    <w:rsid w:val="003500C3"/>
    <w:rsid w:val="00350FDC"/>
    <w:rsid w:val="003523BD"/>
    <w:rsid w:val="00352681"/>
    <w:rsid w:val="003536AA"/>
    <w:rsid w:val="00353EA3"/>
    <w:rsid w:val="003544CE"/>
    <w:rsid w:val="00355A98"/>
    <w:rsid w:val="00355D7E"/>
    <w:rsid w:val="00357CA1"/>
    <w:rsid w:val="00361B2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56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C89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034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02D"/>
    <w:rsid w:val="004650E0"/>
    <w:rsid w:val="00474927"/>
    <w:rsid w:val="00475913"/>
    <w:rsid w:val="00480080"/>
    <w:rsid w:val="004824A7"/>
    <w:rsid w:val="00483AF0"/>
    <w:rsid w:val="00483DE5"/>
    <w:rsid w:val="00484167"/>
    <w:rsid w:val="00492211"/>
    <w:rsid w:val="00492325"/>
    <w:rsid w:val="00492A6D"/>
    <w:rsid w:val="00494303"/>
    <w:rsid w:val="0049682B"/>
    <w:rsid w:val="00497898"/>
    <w:rsid w:val="004A03F7"/>
    <w:rsid w:val="004A081C"/>
    <w:rsid w:val="004A123F"/>
    <w:rsid w:val="004A2172"/>
    <w:rsid w:val="004A4AFE"/>
    <w:rsid w:val="004B138F"/>
    <w:rsid w:val="004B412A"/>
    <w:rsid w:val="004B576C"/>
    <w:rsid w:val="004B772A"/>
    <w:rsid w:val="004C302F"/>
    <w:rsid w:val="004C45D9"/>
    <w:rsid w:val="004C4609"/>
    <w:rsid w:val="004C4B8A"/>
    <w:rsid w:val="004C52EF"/>
    <w:rsid w:val="004C5F34"/>
    <w:rsid w:val="004C600C"/>
    <w:rsid w:val="004C7888"/>
    <w:rsid w:val="004D1AC9"/>
    <w:rsid w:val="004D27DE"/>
    <w:rsid w:val="004D3B3C"/>
    <w:rsid w:val="004D3F41"/>
    <w:rsid w:val="004D4C1B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DB3"/>
    <w:rsid w:val="004F64F6"/>
    <w:rsid w:val="004F69C0"/>
    <w:rsid w:val="00500121"/>
    <w:rsid w:val="005017AC"/>
    <w:rsid w:val="00501E8A"/>
    <w:rsid w:val="00505121"/>
    <w:rsid w:val="00505C04"/>
    <w:rsid w:val="00505F1B"/>
    <w:rsid w:val="00506B1E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79"/>
    <w:rsid w:val="005363BB"/>
    <w:rsid w:val="00541B98"/>
    <w:rsid w:val="00543374"/>
    <w:rsid w:val="00545548"/>
    <w:rsid w:val="00546923"/>
    <w:rsid w:val="00546DCD"/>
    <w:rsid w:val="00551CA6"/>
    <w:rsid w:val="00553808"/>
    <w:rsid w:val="00555034"/>
    <w:rsid w:val="005570D2"/>
    <w:rsid w:val="0056153F"/>
    <w:rsid w:val="00561B14"/>
    <w:rsid w:val="00562C87"/>
    <w:rsid w:val="00563228"/>
    <w:rsid w:val="005636BD"/>
    <w:rsid w:val="005666D5"/>
    <w:rsid w:val="005669A7"/>
    <w:rsid w:val="00573401"/>
    <w:rsid w:val="005740E3"/>
    <w:rsid w:val="00576714"/>
    <w:rsid w:val="0057685A"/>
    <w:rsid w:val="005847EF"/>
    <w:rsid w:val="005851E6"/>
    <w:rsid w:val="005878B7"/>
    <w:rsid w:val="00591EC8"/>
    <w:rsid w:val="00592C9A"/>
    <w:rsid w:val="00593DF8"/>
    <w:rsid w:val="00595745"/>
    <w:rsid w:val="005A0E18"/>
    <w:rsid w:val="005A12A5"/>
    <w:rsid w:val="005A3790"/>
    <w:rsid w:val="005A3CCB"/>
    <w:rsid w:val="005A42D8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2B54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F14"/>
    <w:rsid w:val="006151FB"/>
    <w:rsid w:val="0061593C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9D1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271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A6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7E9"/>
    <w:rsid w:val="00717DE4"/>
    <w:rsid w:val="00721724"/>
    <w:rsid w:val="00722EC5"/>
    <w:rsid w:val="0072303B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518"/>
    <w:rsid w:val="00740D13"/>
    <w:rsid w:val="00740F5F"/>
    <w:rsid w:val="00741210"/>
    <w:rsid w:val="00742794"/>
    <w:rsid w:val="00743C4C"/>
    <w:rsid w:val="00744179"/>
    <w:rsid w:val="007445B7"/>
    <w:rsid w:val="00744920"/>
    <w:rsid w:val="007509BE"/>
    <w:rsid w:val="007527E6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F30"/>
    <w:rsid w:val="0079413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B0D"/>
    <w:rsid w:val="007A7EC1"/>
    <w:rsid w:val="007B4FCA"/>
    <w:rsid w:val="007B7B85"/>
    <w:rsid w:val="007C462E"/>
    <w:rsid w:val="007C496B"/>
    <w:rsid w:val="007C56DF"/>
    <w:rsid w:val="007C6803"/>
    <w:rsid w:val="007D2892"/>
    <w:rsid w:val="007D2DCC"/>
    <w:rsid w:val="007D421E"/>
    <w:rsid w:val="007D47E1"/>
    <w:rsid w:val="007D6172"/>
    <w:rsid w:val="007D7FCB"/>
    <w:rsid w:val="007E24E2"/>
    <w:rsid w:val="007E33B6"/>
    <w:rsid w:val="007E59E8"/>
    <w:rsid w:val="007F3861"/>
    <w:rsid w:val="007F4162"/>
    <w:rsid w:val="007F5441"/>
    <w:rsid w:val="007F7668"/>
    <w:rsid w:val="00800C63"/>
    <w:rsid w:val="00801CBB"/>
    <w:rsid w:val="00802243"/>
    <w:rsid w:val="008023D4"/>
    <w:rsid w:val="00805402"/>
    <w:rsid w:val="0080765F"/>
    <w:rsid w:val="00812BE3"/>
    <w:rsid w:val="008138D7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155"/>
    <w:rsid w:val="0084176D"/>
    <w:rsid w:val="00842006"/>
    <w:rsid w:val="008423E4"/>
    <w:rsid w:val="00842900"/>
    <w:rsid w:val="00850CF0"/>
    <w:rsid w:val="00851869"/>
    <w:rsid w:val="00851C04"/>
    <w:rsid w:val="0085272E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40E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307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8B5"/>
    <w:rsid w:val="00903E0A"/>
    <w:rsid w:val="00904721"/>
    <w:rsid w:val="00907780"/>
    <w:rsid w:val="00907EDD"/>
    <w:rsid w:val="009107AD"/>
    <w:rsid w:val="00910F0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5D7"/>
    <w:rsid w:val="0096482F"/>
    <w:rsid w:val="00964E3A"/>
    <w:rsid w:val="00966FFB"/>
    <w:rsid w:val="00967126"/>
    <w:rsid w:val="00970EAE"/>
    <w:rsid w:val="00971627"/>
    <w:rsid w:val="00972797"/>
    <w:rsid w:val="0097279D"/>
    <w:rsid w:val="00976837"/>
    <w:rsid w:val="00980311"/>
    <w:rsid w:val="009810E9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94A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0BE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6A8F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8C9"/>
    <w:rsid w:val="00A1446F"/>
    <w:rsid w:val="00A151B5"/>
    <w:rsid w:val="00A15A32"/>
    <w:rsid w:val="00A220FF"/>
    <w:rsid w:val="00A227E0"/>
    <w:rsid w:val="00A232E4"/>
    <w:rsid w:val="00A24AAD"/>
    <w:rsid w:val="00A26A8A"/>
    <w:rsid w:val="00A27255"/>
    <w:rsid w:val="00A30B2D"/>
    <w:rsid w:val="00A32304"/>
    <w:rsid w:val="00A3420E"/>
    <w:rsid w:val="00A35D66"/>
    <w:rsid w:val="00A41085"/>
    <w:rsid w:val="00A425FA"/>
    <w:rsid w:val="00A43960"/>
    <w:rsid w:val="00A46902"/>
    <w:rsid w:val="00A50CDB"/>
    <w:rsid w:val="00A50D93"/>
    <w:rsid w:val="00A51F3E"/>
    <w:rsid w:val="00A5364B"/>
    <w:rsid w:val="00A54142"/>
    <w:rsid w:val="00A54C42"/>
    <w:rsid w:val="00A572B1"/>
    <w:rsid w:val="00A577AF"/>
    <w:rsid w:val="00A60053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6E8"/>
    <w:rsid w:val="00AB2C05"/>
    <w:rsid w:val="00AB3536"/>
    <w:rsid w:val="00AB474B"/>
    <w:rsid w:val="00AB5CCC"/>
    <w:rsid w:val="00AB74E2"/>
    <w:rsid w:val="00AC15DF"/>
    <w:rsid w:val="00AC2E9A"/>
    <w:rsid w:val="00AC5AAB"/>
    <w:rsid w:val="00AC5AEC"/>
    <w:rsid w:val="00AC5F28"/>
    <w:rsid w:val="00AC6900"/>
    <w:rsid w:val="00AC7DC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204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81F"/>
    <w:rsid w:val="00B233BB"/>
    <w:rsid w:val="00B24424"/>
    <w:rsid w:val="00B25612"/>
    <w:rsid w:val="00B26437"/>
    <w:rsid w:val="00B2678E"/>
    <w:rsid w:val="00B30647"/>
    <w:rsid w:val="00B31F0E"/>
    <w:rsid w:val="00B34F25"/>
    <w:rsid w:val="00B43672"/>
    <w:rsid w:val="00B473D8"/>
    <w:rsid w:val="00B50BCF"/>
    <w:rsid w:val="00B5165A"/>
    <w:rsid w:val="00B524C1"/>
    <w:rsid w:val="00B52C8D"/>
    <w:rsid w:val="00B556B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6A3"/>
    <w:rsid w:val="00B82039"/>
    <w:rsid w:val="00B82454"/>
    <w:rsid w:val="00B90097"/>
    <w:rsid w:val="00B90999"/>
    <w:rsid w:val="00B91AD7"/>
    <w:rsid w:val="00B92D23"/>
    <w:rsid w:val="00B95BC8"/>
    <w:rsid w:val="00B96E87"/>
    <w:rsid w:val="00B975F7"/>
    <w:rsid w:val="00BA146A"/>
    <w:rsid w:val="00BA32EE"/>
    <w:rsid w:val="00BA680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806"/>
    <w:rsid w:val="00BF4949"/>
    <w:rsid w:val="00BF4D7C"/>
    <w:rsid w:val="00BF5085"/>
    <w:rsid w:val="00BF5D77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5B3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6D6"/>
    <w:rsid w:val="00C57933"/>
    <w:rsid w:val="00C60206"/>
    <w:rsid w:val="00C612F0"/>
    <w:rsid w:val="00C615D4"/>
    <w:rsid w:val="00C61B5D"/>
    <w:rsid w:val="00C61C0E"/>
    <w:rsid w:val="00C61C64"/>
    <w:rsid w:val="00C61CDA"/>
    <w:rsid w:val="00C63B9D"/>
    <w:rsid w:val="00C7095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BF4"/>
    <w:rsid w:val="00C82743"/>
    <w:rsid w:val="00C834CE"/>
    <w:rsid w:val="00C9047F"/>
    <w:rsid w:val="00C91F65"/>
    <w:rsid w:val="00C92310"/>
    <w:rsid w:val="00C92A11"/>
    <w:rsid w:val="00C95150"/>
    <w:rsid w:val="00C95A73"/>
    <w:rsid w:val="00C9669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575"/>
    <w:rsid w:val="00CE2133"/>
    <w:rsid w:val="00CE245D"/>
    <w:rsid w:val="00CE300F"/>
    <w:rsid w:val="00CE3582"/>
    <w:rsid w:val="00CE3795"/>
    <w:rsid w:val="00CE3E20"/>
    <w:rsid w:val="00CE5F11"/>
    <w:rsid w:val="00CE7767"/>
    <w:rsid w:val="00CF4827"/>
    <w:rsid w:val="00CF4C69"/>
    <w:rsid w:val="00CF581C"/>
    <w:rsid w:val="00CF71E0"/>
    <w:rsid w:val="00CF76BB"/>
    <w:rsid w:val="00D001B1"/>
    <w:rsid w:val="00D03176"/>
    <w:rsid w:val="00D03A97"/>
    <w:rsid w:val="00D060A8"/>
    <w:rsid w:val="00D065A8"/>
    <w:rsid w:val="00D06605"/>
    <w:rsid w:val="00D0720F"/>
    <w:rsid w:val="00D074E2"/>
    <w:rsid w:val="00D11B0B"/>
    <w:rsid w:val="00D12A3E"/>
    <w:rsid w:val="00D157D5"/>
    <w:rsid w:val="00D22160"/>
    <w:rsid w:val="00D22172"/>
    <w:rsid w:val="00D2301B"/>
    <w:rsid w:val="00D239EE"/>
    <w:rsid w:val="00D30534"/>
    <w:rsid w:val="00D32F15"/>
    <w:rsid w:val="00D35728"/>
    <w:rsid w:val="00D37B20"/>
    <w:rsid w:val="00D37BCF"/>
    <w:rsid w:val="00D40F93"/>
    <w:rsid w:val="00D42277"/>
    <w:rsid w:val="00D43C59"/>
    <w:rsid w:val="00D44ADE"/>
    <w:rsid w:val="00D4516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B01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D28"/>
    <w:rsid w:val="00DC6686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25DB"/>
    <w:rsid w:val="00DE34B2"/>
    <w:rsid w:val="00DE49DE"/>
    <w:rsid w:val="00DE618B"/>
    <w:rsid w:val="00DE6EC2"/>
    <w:rsid w:val="00DF0834"/>
    <w:rsid w:val="00DF2707"/>
    <w:rsid w:val="00DF4D90"/>
    <w:rsid w:val="00DF5EBD"/>
    <w:rsid w:val="00DF65B1"/>
    <w:rsid w:val="00DF6BA8"/>
    <w:rsid w:val="00DF78EA"/>
    <w:rsid w:val="00DF7CA3"/>
    <w:rsid w:val="00DF7F0D"/>
    <w:rsid w:val="00E00D5A"/>
    <w:rsid w:val="00E01462"/>
    <w:rsid w:val="00E01A76"/>
    <w:rsid w:val="00E047E7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320"/>
    <w:rsid w:val="00E23E2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723"/>
    <w:rsid w:val="00E529C8"/>
    <w:rsid w:val="00E5494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6CE"/>
    <w:rsid w:val="00E73CCD"/>
    <w:rsid w:val="00E76453"/>
    <w:rsid w:val="00E77353"/>
    <w:rsid w:val="00E775AE"/>
    <w:rsid w:val="00E8272C"/>
    <w:rsid w:val="00E827C7"/>
    <w:rsid w:val="00E85DBD"/>
    <w:rsid w:val="00E87A99"/>
    <w:rsid w:val="00E87EA0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50C"/>
    <w:rsid w:val="00ED3A32"/>
    <w:rsid w:val="00ED3BDE"/>
    <w:rsid w:val="00ED68FB"/>
    <w:rsid w:val="00ED6BA4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6E7"/>
    <w:rsid w:val="00F05397"/>
    <w:rsid w:val="00F0638C"/>
    <w:rsid w:val="00F07FF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7307"/>
    <w:rsid w:val="00F50130"/>
    <w:rsid w:val="00F51313"/>
    <w:rsid w:val="00F52402"/>
    <w:rsid w:val="00F55F7E"/>
    <w:rsid w:val="00F5605D"/>
    <w:rsid w:val="00F6514B"/>
    <w:rsid w:val="00F6587F"/>
    <w:rsid w:val="00F67981"/>
    <w:rsid w:val="00F706CA"/>
    <w:rsid w:val="00F70F8D"/>
    <w:rsid w:val="00F71C5A"/>
    <w:rsid w:val="00F72C57"/>
    <w:rsid w:val="00F733A4"/>
    <w:rsid w:val="00F76488"/>
    <w:rsid w:val="00F7758F"/>
    <w:rsid w:val="00F82811"/>
    <w:rsid w:val="00F84153"/>
    <w:rsid w:val="00F85661"/>
    <w:rsid w:val="00F96602"/>
    <w:rsid w:val="00F96CEC"/>
    <w:rsid w:val="00F9735A"/>
    <w:rsid w:val="00FA32FC"/>
    <w:rsid w:val="00FA59FD"/>
    <w:rsid w:val="00FA5D8C"/>
    <w:rsid w:val="00FA6403"/>
    <w:rsid w:val="00FB16CD"/>
    <w:rsid w:val="00FB73AE"/>
    <w:rsid w:val="00FC2994"/>
    <w:rsid w:val="00FC5388"/>
    <w:rsid w:val="00FC726C"/>
    <w:rsid w:val="00FC7FDA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8DB"/>
    <w:rsid w:val="00FF34C8"/>
    <w:rsid w:val="00FF4130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ACD9F-A5C7-4A34-8DBD-6E901F6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53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38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808"/>
    <w:rPr>
      <w:b/>
      <w:bCs/>
    </w:rPr>
  </w:style>
  <w:style w:type="character" w:styleId="Hyperlink">
    <w:name w:val="Hyperlink"/>
    <w:basedOn w:val="DefaultParagraphFont"/>
    <w:unhideWhenUsed/>
    <w:rsid w:val="005538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14F1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EC8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A13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8419</Characters>
  <Application>Microsoft Office Word</Application>
  <DocSecurity>4</DocSecurity>
  <Lines>164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HB00764 (Committee Report (Substituted))</vt:lpstr>
    </vt:vector>
  </TitlesOfParts>
  <Company>State of Texas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21644</dc:subject>
  <dc:creator>State of Texas</dc:creator>
  <dc:description>HB 764 by Krause-(H)Public Education (Substitute Document Number: 87R 19422)</dc:description>
  <cp:lastModifiedBy>Stacey Nicchio</cp:lastModifiedBy>
  <cp:revision>2</cp:revision>
  <cp:lastPrinted>2003-11-26T17:21:00Z</cp:lastPrinted>
  <dcterms:created xsi:type="dcterms:W3CDTF">2021-04-30T23:22:00Z</dcterms:created>
  <dcterms:modified xsi:type="dcterms:W3CDTF">2021-04-30T23:22:00Z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21.113.1719</vt:lpwstr>
  </property>
</Properties>
</file>