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3E66" w14:paraId="00B4849B" w14:textId="77777777" w:rsidTr="00345119">
        <w:tc>
          <w:tcPr>
            <w:tcW w:w="9576" w:type="dxa"/>
            <w:noWrap/>
          </w:tcPr>
          <w:p w14:paraId="77FB59E4" w14:textId="77777777" w:rsidR="008423E4" w:rsidRPr="0022177D" w:rsidRDefault="00BD1F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4FDCB1" w14:textId="77777777" w:rsidR="008423E4" w:rsidRPr="0022177D" w:rsidRDefault="008423E4" w:rsidP="008423E4">
      <w:pPr>
        <w:jc w:val="center"/>
      </w:pPr>
    </w:p>
    <w:p w14:paraId="1AD2367D" w14:textId="77777777" w:rsidR="008423E4" w:rsidRPr="00B31F0E" w:rsidRDefault="008423E4" w:rsidP="008423E4"/>
    <w:p w14:paraId="0D8123A1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3E66" w14:paraId="7F82CBEB" w14:textId="77777777" w:rsidTr="00345119">
        <w:tc>
          <w:tcPr>
            <w:tcW w:w="9576" w:type="dxa"/>
          </w:tcPr>
          <w:p w14:paraId="2E409AE3" w14:textId="3DFAE397" w:rsidR="008423E4" w:rsidRPr="00861995" w:rsidRDefault="00BD1F7A" w:rsidP="00345119">
            <w:pPr>
              <w:jc w:val="right"/>
            </w:pPr>
            <w:r>
              <w:t>C.S.H.B. 769</w:t>
            </w:r>
          </w:p>
        </w:tc>
      </w:tr>
      <w:tr w:rsidR="00533E66" w14:paraId="446E7D8D" w14:textId="77777777" w:rsidTr="00345119">
        <w:tc>
          <w:tcPr>
            <w:tcW w:w="9576" w:type="dxa"/>
          </w:tcPr>
          <w:p w14:paraId="57D5E992" w14:textId="64FD16B2" w:rsidR="008423E4" w:rsidRPr="00861995" w:rsidRDefault="00BD1F7A" w:rsidP="00914961">
            <w:pPr>
              <w:jc w:val="right"/>
            </w:pPr>
            <w:r>
              <w:t xml:space="preserve">By: </w:t>
            </w:r>
            <w:r w:rsidR="00914961">
              <w:t>Middleton</w:t>
            </w:r>
          </w:p>
        </w:tc>
      </w:tr>
      <w:tr w:rsidR="00533E66" w14:paraId="1011BE3D" w14:textId="77777777" w:rsidTr="00345119">
        <w:tc>
          <w:tcPr>
            <w:tcW w:w="9576" w:type="dxa"/>
          </w:tcPr>
          <w:p w14:paraId="5DD35932" w14:textId="635F4DD0" w:rsidR="008423E4" w:rsidRPr="00861995" w:rsidRDefault="00BD1F7A" w:rsidP="00345119">
            <w:pPr>
              <w:jc w:val="right"/>
            </w:pPr>
            <w:r>
              <w:t>Insurance</w:t>
            </w:r>
          </w:p>
        </w:tc>
      </w:tr>
      <w:tr w:rsidR="00533E66" w14:paraId="2C714283" w14:textId="77777777" w:rsidTr="00345119">
        <w:tc>
          <w:tcPr>
            <w:tcW w:w="9576" w:type="dxa"/>
          </w:tcPr>
          <w:p w14:paraId="13BBF34B" w14:textId="0564C336" w:rsidR="008423E4" w:rsidRDefault="00BD1F7A" w:rsidP="00345119">
            <w:pPr>
              <w:jc w:val="right"/>
            </w:pPr>
            <w:r>
              <w:t>Committee Report (Substituted)</w:t>
            </w:r>
          </w:p>
        </w:tc>
      </w:tr>
    </w:tbl>
    <w:p w14:paraId="10117342" w14:textId="77777777" w:rsidR="008423E4" w:rsidRDefault="008423E4" w:rsidP="008423E4">
      <w:pPr>
        <w:tabs>
          <w:tab w:val="right" w:pos="9360"/>
        </w:tabs>
      </w:pPr>
    </w:p>
    <w:p w14:paraId="087F7263" w14:textId="77777777" w:rsidR="008423E4" w:rsidRDefault="008423E4" w:rsidP="008423E4"/>
    <w:p w14:paraId="1C53F76A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3E66" w14:paraId="62D52AA8" w14:textId="77777777" w:rsidTr="00C76212">
        <w:tc>
          <w:tcPr>
            <w:tcW w:w="9360" w:type="dxa"/>
          </w:tcPr>
          <w:p w14:paraId="5C4760DE" w14:textId="77777777" w:rsidR="008423E4" w:rsidRPr="00A8133F" w:rsidRDefault="00BD1F7A" w:rsidP="00EE72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5C09CD" w14:textId="77777777" w:rsidR="008423E4" w:rsidRDefault="008423E4" w:rsidP="00EE72A2"/>
          <w:p w14:paraId="1AF0DF8E" w14:textId="438C71D9" w:rsidR="008423E4" w:rsidRDefault="00BD1F7A" w:rsidP="00EE72A2">
            <w:pPr>
              <w:pStyle w:val="Header"/>
              <w:jc w:val="both"/>
            </w:pPr>
            <w:r>
              <w:t>It has been noted that p</w:t>
            </w:r>
            <w:r w:rsidR="00C57C64" w:rsidRPr="00C57C64">
              <w:t xml:space="preserve">revious reforms of the Texas Windstorm Insurance Association's (TWIA) operations to control rates and assert greater accountability </w:t>
            </w:r>
            <w:r w:rsidR="00AC11DB">
              <w:t xml:space="preserve">have </w:t>
            </w:r>
            <w:r w:rsidR="00C57C64" w:rsidRPr="00C57C64">
              <w:t>g</w:t>
            </w:r>
            <w:r w:rsidR="00C57C64" w:rsidRPr="00AC11DB">
              <w:t>reatly</w:t>
            </w:r>
            <w:r w:rsidR="00C57C64" w:rsidRPr="00C57C64">
              <w:t xml:space="preserve"> improved </w:t>
            </w:r>
            <w:r w:rsidR="00C57C64">
              <w:t>its</w:t>
            </w:r>
            <w:r w:rsidR="00C57C64" w:rsidRPr="00C57C64">
              <w:t xml:space="preserve"> administration. </w:t>
            </w:r>
            <w:r w:rsidR="00EC3FB6">
              <w:t>However,</w:t>
            </w:r>
            <w:r w:rsidR="00C57C64" w:rsidRPr="00C57C64">
              <w:t xml:space="preserve"> </w:t>
            </w:r>
            <w:r w:rsidR="00821446">
              <w:t xml:space="preserve">interested parties contend </w:t>
            </w:r>
            <w:r w:rsidR="00C57C64" w:rsidRPr="00C57C64">
              <w:t xml:space="preserve">additional reforms to </w:t>
            </w:r>
            <w:r w:rsidR="00C57C64">
              <w:t>TWIA</w:t>
            </w:r>
            <w:r w:rsidR="00C57C64" w:rsidRPr="00C57C64">
              <w:t xml:space="preserve"> are needed to ensure that </w:t>
            </w:r>
            <w:r w:rsidR="00C57C64">
              <w:t>it</w:t>
            </w:r>
            <w:r w:rsidR="00C57C64" w:rsidRPr="00C57C64">
              <w:t xml:space="preserve"> fulfill</w:t>
            </w:r>
            <w:r w:rsidR="00C57C64">
              <w:t>s</w:t>
            </w:r>
            <w:r w:rsidR="00C57C64" w:rsidRPr="00C57C64">
              <w:t xml:space="preserve"> </w:t>
            </w:r>
            <w:r w:rsidR="00B617D1">
              <w:t>its role</w:t>
            </w:r>
            <w:r w:rsidR="00C57C64">
              <w:t xml:space="preserve"> </w:t>
            </w:r>
            <w:r w:rsidR="00C57C64" w:rsidRPr="00C57C64">
              <w:t xml:space="preserve">as the insurer of last resort </w:t>
            </w:r>
            <w:r w:rsidR="00C57C64">
              <w:t>along</w:t>
            </w:r>
            <w:r w:rsidR="00C57C64" w:rsidRPr="00C57C64">
              <w:t xml:space="preserve"> the Texas Gulf Coast</w:t>
            </w:r>
            <w:r>
              <w:t xml:space="preserve"> as efficiently and effectively as possible</w:t>
            </w:r>
            <w:r w:rsidR="00C57C64" w:rsidRPr="00C57C64">
              <w:t xml:space="preserve">. </w:t>
            </w:r>
            <w:r w:rsidR="00C57C64">
              <w:t>C.S.</w:t>
            </w:r>
            <w:r w:rsidR="00C57C64" w:rsidRPr="00C57C64">
              <w:t>H</w:t>
            </w:r>
            <w:r w:rsidR="00C57C64">
              <w:t>.</w:t>
            </w:r>
            <w:r w:rsidR="00C57C64" w:rsidRPr="00C57C64">
              <w:t>B</w:t>
            </w:r>
            <w:r w:rsidR="00C57C64">
              <w:t>.</w:t>
            </w:r>
            <w:r w:rsidR="00C57C64" w:rsidRPr="00C57C64">
              <w:t xml:space="preserve"> 769 seeks to implement several reforms </w:t>
            </w:r>
            <w:r w:rsidR="00C57C64">
              <w:t>aimed at</w:t>
            </w:r>
            <w:r w:rsidR="00C57C64" w:rsidRPr="00C57C64">
              <w:t xml:space="preserve"> improv</w:t>
            </w:r>
            <w:r w:rsidR="00C57C64">
              <w:t>ing</w:t>
            </w:r>
            <w:r w:rsidR="00C57C64" w:rsidRPr="00C57C64">
              <w:t xml:space="preserve"> the administration of TWIA.</w:t>
            </w:r>
          </w:p>
          <w:p w14:paraId="25BD1B83" w14:textId="77777777" w:rsidR="008423E4" w:rsidRPr="00E26B13" w:rsidRDefault="008423E4" w:rsidP="00EE72A2">
            <w:pPr>
              <w:rPr>
                <w:b/>
              </w:rPr>
            </w:pPr>
          </w:p>
        </w:tc>
      </w:tr>
      <w:tr w:rsidR="00533E66" w14:paraId="1ADFD496" w14:textId="77777777" w:rsidTr="00C76212">
        <w:tc>
          <w:tcPr>
            <w:tcW w:w="9360" w:type="dxa"/>
          </w:tcPr>
          <w:p w14:paraId="26D26678" w14:textId="77777777" w:rsidR="0017725B" w:rsidRDefault="00BD1F7A" w:rsidP="00EE72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B1D199" w14:textId="77777777" w:rsidR="0017725B" w:rsidRDefault="0017725B" w:rsidP="00EE72A2">
            <w:pPr>
              <w:rPr>
                <w:b/>
                <w:u w:val="single"/>
              </w:rPr>
            </w:pPr>
          </w:p>
          <w:p w14:paraId="2D7086C3" w14:textId="5407939B" w:rsidR="00D05D6D" w:rsidRPr="00D05D6D" w:rsidRDefault="00BD1F7A" w:rsidP="00EE72A2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7BC3A00C" w14:textId="77777777" w:rsidR="0017725B" w:rsidRPr="0017725B" w:rsidRDefault="0017725B" w:rsidP="00EE72A2">
            <w:pPr>
              <w:rPr>
                <w:b/>
                <w:u w:val="single"/>
              </w:rPr>
            </w:pPr>
          </w:p>
        </w:tc>
      </w:tr>
      <w:tr w:rsidR="00533E66" w14:paraId="1110EBA1" w14:textId="77777777" w:rsidTr="00C76212">
        <w:tc>
          <w:tcPr>
            <w:tcW w:w="9360" w:type="dxa"/>
          </w:tcPr>
          <w:p w14:paraId="17EB4B72" w14:textId="77777777" w:rsidR="008423E4" w:rsidRPr="00A8133F" w:rsidRDefault="00BD1F7A" w:rsidP="00EE72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BA1CCC" w14:textId="77777777" w:rsidR="008423E4" w:rsidRDefault="008423E4" w:rsidP="00EE72A2"/>
          <w:p w14:paraId="2BD2856E" w14:textId="771D4A1A" w:rsidR="00D05D6D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D917A63" w14:textId="77777777" w:rsidR="008423E4" w:rsidRPr="00E21FDC" w:rsidRDefault="008423E4" w:rsidP="00EE72A2">
            <w:pPr>
              <w:rPr>
                <w:b/>
              </w:rPr>
            </w:pPr>
          </w:p>
        </w:tc>
      </w:tr>
      <w:tr w:rsidR="00533E66" w14:paraId="6A79E2C4" w14:textId="77777777" w:rsidTr="00C76212">
        <w:tc>
          <w:tcPr>
            <w:tcW w:w="9360" w:type="dxa"/>
          </w:tcPr>
          <w:p w14:paraId="512C33CA" w14:textId="77777777" w:rsidR="008423E4" w:rsidRPr="00A8133F" w:rsidRDefault="00BD1F7A" w:rsidP="00EE72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CB9DFB" w14:textId="77777777" w:rsidR="008423E4" w:rsidRDefault="008423E4" w:rsidP="00EE72A2"/>
          <w:p w14:paraId="4978789B" w14:textId="41D7C476" w:rsidR="009C36CD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B6C7C">
              <w:t>H.B. 769 amends the Insurance Code to do the following with respect to the a</w:t>
            </w:r>
            <w:r w:rsidR="00AB6C7C" w:rsidRPr="0095785B">
              <w:t>dministration</w:t>
            </w:r>
            <w:r w:rsidR="00AB6C7C">
              <w:t xml:space="preserve"> of the Texas Windstorm Insurance Association (TWIA):</w:t>
            </w:r>
          </w:p>
          <w:p w14:paraId="2DB7A4A8" w14:textId="556DC3B1" w:rsidR="00AB6C7C" w:rsidRDefault="00BD1F7A" w:rsidP="00EE72A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 the TWIA headquarters to be located in a first or second tier coastal county</w:t>
            </w:r>
            <w:r w:rsidR="003B7276">
              <w:t xml:space="preserve"> beginning</w:t>
            </w:r>
            <w:r w:rsidR="00CD5129">
              <w:t xml:space="preserve"> January 1, 202</w:t>
            </w:r>
            <w:r w:rsidR="00867E38">
              <w:t>3</w:t>
            </w:r>
            <w:r>
              <w:t>; and</w:t>
            </w:r>
          </w:p>
          <w:p w14:paraId="79348C68" w14:textId="77777777" w:rsidR="00AB6C7C" w:rsidRDefault="00BD1F7A" w:rsidP="00EE72A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 the TWIA board of directors f</w:t>
            </w:r>
            <w:r>
              <w:t>rom voting on a proposed rate filing if there is a vacancy on the board.</w:t>
            </w:r>
          </w:p>
          <w:p w14:paraId="75DDCB9F" w14:textId="77777777" w:rsidR="00D05D6D" w:rsidRDefault="00D05D6D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FED8F8" w14:textId="771951D5" w:rsidR="00E80F68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769</w:t>
            </w:r>
            <w:r w:rsidR="00AB6C7C">
              <w:t xml:space="preserve"> </w:t>
            </w:r>
            <w:r w:rsidR="001D6835">
              <w:t>prohibits TWIA, in</w:t>
            </w:r>
            <w:r w:rsidR="00DE5C58">
              <w:t xml:space="preserve"> </w:t>
            </w:r>
            <w:r w:rsidRPr="001D6835">
              <w:t>determining</w:t>
            </w:r>
            <w:r>
              <w:t xml:space="preserve"> the probable maximum loss</w:t>
            </w:r>
            <w:r w:rsidR="00DE5C58">
              <w:t xml:space="preserve"> </w:t>
            </w:r>
            <w:r w:rsidR="00426FD7">
              <w:t>that</w:t>
            </w:r>
            <w:r w:rsidR="00DE5C58">
              <w:t xml:space="preserve"> governs </w:t>
            </w:r>
            <w:r w:rsidR="00426FD7">
              <w:t>required minimum</w:t>
            </w:r>
            <w:r w:rsidR="00DE5C58">
              <w:t xml:space="preserve"> TWIA funding levels</w:t>
            </w:r>
            <w:r w:rsidR="004E569B">
              <w:t>,</w:t>
            </w:r>
            <w:r>
              <w:t xml:space="preserve"> from considering the cost of providing loss adjustments</w:t>
            </w:r>
            <w:r w:rsidR="004E569B">
              <w:t xml:space="preserve">. The bill does the following with respect to </w:t>
            </w:r>
            <w:r w:rsidR="00EE13B6">
              <w:t>TWIA's</w:t>
            </w:r>
            <w:r w:rsidR="004E569B">
              <w:t xml:space="preserve"> use of hurricane risk simulation models in making that determination:</w:t>
            </w:r>
          </w:p>
          <w:p w14:paraId="5ECD5A4D" w14:textId="49854C8C" w:rsidR="00E80F68" w:rsidRDefault="00BD1F7A" w:rsidP="00EE72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</w:t>
            </w:r>
            <w:r w:rsidR="00DE5C58">
              <w:t>s</w:t>
            </w:r>
            <w:r>
              <w:t xml:space="preserve"> TWIA</w:t>
            </w:r>
            <w:r w:rsidR="00DE5C58">
              <w:t>, to the extent possible,</w:t>
            </w:r>
            <w:r>
              <w:t xml:space="preserve"> to contract </w:t>
            </w:r>
            <w:r w:rsidRPr="00E80F68">
              <w:t>with a</w:t>
            </w:r>
            <w:r w:rsidR="003B7276">
              <w:t>ny</w:t>
            </w:r>
            <w:r w:rsidRPr="00E80F68">
              <w:t xml:space="preserve"> disinterested third part</w:t>
            </w:r>
            <w:r w:rsidR="003B7276">
              <w:t>ies necessary to execute</w:t>
            </w:r>
            <w:r w:rsidRPr="00E80F68">
              <w:t xml:space="preserve"> </w:t>
            </w:r>
            <w:r w:rsidR="00DE5C58">
              <w:t xml:space="preserve">any hurricane </w:t>
            </w:r>
            <w:r w:rsidRPr="00E80F68">
              <w:t xml:space="preserve">risk </w:t>
            </w:r>
            <w:r w:rsidR="00DE5C58">
              <w:t xml:space="preserve">simulation </w:t>
            </w:r>
            <w:r w:rsidRPr="00E80F68">
              <w:t>model</w:t>
            </w:r>
            <w:r w:rsidR="00DE5C58">
              <w:t>s that were executed in the preceding storm season</w:t>
            </w:r>
            <w:r>
              <w:t>;</w:t>
            </w:r>
          </w:p>
          <w:p w14:paraId="070CFE2D" w14:textId="4501ECC9" w:rsidR="00DE5C58" w:rsidRDefault="00BD1F7A" w:rsidP="00EE72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TWIA</w:t>
            </w:r>
            <w:r w:rsidR="004F0E2C">
              <w:t xml:space="preserve">, if unable to contract for the execution of </w:t>
            </w:r>
            <w:r w:rsidR="00C81314">
              <w:t xml:space="preserve">such a </w:t>
            </w:r>
            <w:r w:rsidR="00426FD7">
              <w:t xml:space="preserve">simulation </w:t>
            </w:r>
            <w:r w:rsidR="004F0E2C">
              <w:t>model,</w:t>
            </w:r>
            <w:r>
              <w:t xml:space="preserve"> to </w:t>
            </w:r>
            <w:r w:rsidR="004F0E2C">
              <w:t xml:space="preserve">contract with any disinterested third party necessary </w:t>
            </w:r>
            <w:r w:rsidR="00C81314">
              <w:t xml:space="preserve">to execute </w:t>
            </w:r>
            <w:r w:rsidR="00C81314" w:rsidRPr="009953CB">
              <w:t>a simulation model</w:t>
            </w:r>
            <w:r w:rsidR="00C81314">
              <w:t xml:space="preserve"> that is substantially similar to the model for which TWIA is unable to contract</w:t>
            </w:r>
            <w:r>
              <w:t xml:space="preserve">; </w:t>
            </w:r>
          </w:p>
          <w:p w14:paraId="31CFD802" w14:textId="28F5D730" w:rsidR="00DE5C58" w:rsidRDefault="00BD1F7A" w:rsidP="00EE72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TWIA to contract with any disinterested third parties to execute </w:t>
            </w:r>
            <w:r w:rsidRPr="00EC3FB6">
              <w:t>any additional simulation</w:t>
            </w:r>
            <w:r>
              <w:t xml:space="preserve"> models;</w:t>
            </w:r>
          </w:p>
          <w:p w14:paraId="07CB3BD4" w14:textId="55E7ACBC" w:rsidR="00DE5C58" w:rsidRDefault="00BD1F7A" w:rsidP="00EE72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TWIA to provide any necessary information to a third party executing a simulation mo</w:t>
            </w:r>
            <w:r>
              <w:t xml:space="preserve">del; </w:t>
            </w:r>
          </w:p>
          <w:p w14:paraId="00291416" w14:textId="08C3B20A" w:rsidR="00E80F68" w:rsidRDefault="00BD1F7A" w:rsidP="00EE72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prohibits TWIA from using a combination of simulation models to determine the probable maximum loss; and</w:t>
            </w:r>
          </w:p>
          <w:p w14:paraId="536B60F6" w14:textId="3D5D967A" w:rsidR="00DE5C58" w:rsidRDefault="00BD1F7A" w:rsidP="00EE72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restricts TWIA to using only the </w:t>
            </w:r>
            <w:r w:rsidR="00C81314">
              <w:t xml:space="preserve">simulation </w:t>
            </w:r>
            <w:r>
              <w:t>model that produces the lowest probabl</w:t>
            </w:r>
            <w:r w:rsidR="00EE13B6">
              <w:t>e</w:t>
            </w:r>
            <w:r>
              <w:t xml:space="preserve"> maximum loss.</w:t>
            </w:r>
          </w:p>
          <w:p w14:paraId="5AC52762" w14:textId="723A0957" w:rsidR="00205B55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TWIA to make</w:t>
            </w:r>
            <w:r w:rsidR="00E80F68">
              <w:t xml:space="preserve"> any information </w:t>
            </w:r>
            <w:r>
              <w:t xml:space="preserve">produced in compliance with these provisions </w:t>
            </w:r>
            <w:r w:rsidR="00E80F68">
              <w:t>publicly available on the TWIA website</w:t>
            </w:r>
            <w:r>
              <w:t xml:space="preserve">. </w:t>
            </w:r>
            <w:r w:rsidRPr="00A62D09">
              <w:t xml:space="preserve">The </w:t>
            </w:r>
            <w:r>
              <w:t>bill prohibits TWIA from</w:t>
            </w:r>
            <w:r w:rsidRPr="00A62D09">
              <w:t xml:space="preserve"> purchas</w:t>
            </w:r>
            <w:r>
              <w:t>ing</w:t>
            </w:r>
            <w:r w:rsidRPr="00A62D09">
              <w:t xml:space="preserve"> reinsurance from an insurer or broker involved in the execution of the simulation model on which </w:t>
            </w:r>
            <w:r>
              <w:t>TWIA</w:t>
            </w:r>
            <w:r w:rsidRPr="00A62D09">
              <w:t xml:space="preserve"> relies in determining the pro</w:t>
            </w:r>
            <w:r w:rsidRPr="00A62D09">
              <w:t>bable maximum loss applicable for the period covered by the reinsurance.</w:t>
            </w:r>
          </w:p>
          <w:p w14:paraId="4EF7439D" w14:textId="3E9CC0A8" w:rsidR="00ED3F64" w:rsidRDefault="00ED3F64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0F803E" w14:textId="29109A05" w:rsidR="009E726B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769</w:t>
            </w:r>
            <w:r w:rsidR="007D4A15" w:rsidRPr="0095785B">
              <w:t xml:space="preserve"> </w:t>
            </w:r>
            <w:r w:rsidRPr="0095785B">
              <w:t xml:space="preserve">gives TWIA the option, at the end of each calendar or policy year, to use the net gain from its operations </w:t>
            </w:r>
            <w:r w:rsidR="00380E71" w:rsidRPr="0095785B">
              <w:t>to pay public security obligations</w:t>
            </w:r>
            <w:r w:rsidR="00A925F2">
              <w:t xml:space="preserve">, giving </w:t>
            </w:r>
            <w:r w:rsidR="00380E71" w:rsidRPr="00A925F2">
              <w:t>priority to the obligations with the highest interest rates.</w:t>
            </w:r>
            <w:r w:rsidR="00904752" w:rsidRPr="0095785B">
              <w:t xml:space="preserve"> </w:t>
            </w:r>
            <w:r w:rsidR="00A925F2">
              <w:t xml:space="preserve">The bill removes the option for TWIA to use that net gain to procure reinsurance or use alternative risk financing mechanisms. </w:t>
            </w:r>
            <w:r w:rsidR="002E1AF5">
              <w:t>The bill</w:t>
            </w:r>
            <w:r w:rsidR="00A925F2">
              <w:t xml:space="preserve"> also</w:t>
            </w:r>
            <w:r w:rsidR="002E1AF5">
              <w:t xml:space="preserve"> removes the option for TWIA to </w:t>
            </w:r>
            <w:r w:rsidR="00D83EE7">
              <w:t xml:space="preserve">use </w:t>
            </w:r>
            <w:r w:rsidR="00BB3B81">
              <w:t xml:space="preserve">the </w:t>
            </w:r>
            <w:r w:rsidR="002E1AF5">
              <w:t xml:space="preserve">excess revenue collected in a calendar year from </w:t>
            </w:r>
            <w:r w:rsidR="00BB3B81">
              <w:t>the</w:t>
            </w:r>
            <w:r w:rsidR="002E1AF5">
              <w:t xml:space="preserve"> premium surcharges</w:t>
            </w:r>
            <w:r w:rsidR="00BB3B81">
              <w:t xml:space="preserve"> </w:t>
            </w:r>
            <w:r w:rsidR="007A0AFD" w:rsidRPr="00B617D1">
              <w:t xml:space="preserve">assessed </w:t>
            </w:r>
            <w:r w:rsidR="00D83EE7">
              <w:t>for the following purposes in combination: procuring reinsurance, using alternative risk financing mechanisms, and depositing funds in the catastrophe reserve trust fund</w:t>
            </w:r>
            <w:r w:rsidR="00BB3B81">
              <w:t>.</w:t>
            </w:r>
            <w:r w:rsidR="002E1AF5">
              <w:t xml:space="preserve"> </w:t>
            </w:r>
          </w:p>
          <w:p w14:paraId="142E55E7" w14:textId="08F4DEA5" w:rsidR="00030320" w:rsidRDefault="00030320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0E204E" w14:textId="3B332B91" w:rsidR="00030320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769 </w:t>
            </w:r>
            <w:r w:rsidRPr="00030320">
              <w:t>continue</w:t>
            </w:r>
            <w:r w:rsidR="000D0437">
              <w:t>s</w:t>
            </w:r>
            <w:r w:rsidRPr="00030320">
              <w:t xml:space="preserve"> the</w:t>
            </w:r>
            <w:r w:rsidRPr="00030320">
              <w:t xml:space="preserve"> windstorm insurance legislative funding and funding structure oversight board and provisions</w:t>
            </w:r>
            <w:r w:rsidR="000D0437">
              <w:t xml:space="preserve"> governing the board</w:t>
            </w:r>
            <w:r w:rsidRPr="00030320">
              <w:t xml:space="preserve"> until September 1, 2023, and </w:t>
            </w:r>
            <w:r w:rsidR="000D0437">
              <w:t>postpones the deadline for the board's report to November 15, 2022.</w:t>
            </w:r>
          </w:p>
          <w:p w14:paraId="3315A650" w14:textId="03E3623E" w:rsidR="000D0437" w:rsidRDefault="000D0437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3C8784" w14:textId="623750D1" w:rsidR="000D0437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769 amends </w:t>
            </w:r>
            <w:r w:rsidRPr="00904752">
              <w:t xml:space="preserve">Sections 14(c) and (d), </w:t>
            </w:r>
            <w:r w:rsidRPr="00904752">
              <w:t>Chapter 790 (H.B. 1900), Acts of the 86th Legislature, Regular Session, 2019</w:t>
            </w:r>
            <w:r>
              <w:t>, to postpone to January 1, 2023, the deadline by which the windstorm insurance legislative oversight board is required to submit a report of its study on whether to merge TWIA and</w:t>
            </w:r>
            <w:r>
              <w:t xml:space="preserve"> the FAIR Plan. The bill postpones the expiration of provisions relating to that study to January 1, 2024. </w:t>
            </w:r>
          </w:p>
          <w:p w14:paraId="139D5540" w14:textId="3965E1B4" w:rsidR="007D4A15" w:rsidRDefault="007D4A15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68B081" w14:textId="6B245B07" w:rsidR="00904752" w:rsidRPr="009C36CD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769 requires </w:t>
            </w:r>
            <w:r w:rsidR="00F974D1">
              <w:t xml:space="preserve">the Texas Department of Insurance </w:t>
            </w:r>
            <w:r w:rsidR="007D7757">
              <w:t xml:space="preserve">(TDI) </w:t>
            </w:r>
            <w:r w:rsidR="00F974D1">
              <w:t xml:space="preserve">to amend </w:t>
            </w:r>
            <w:r>
              <w:t>TWIA</w:t>
            </w:r>
            <w:r w:rsidR="007D7757">
              <w:t>'s</w:t>
            </w:r>
            <w:r>
              <w:t xml:space="preserve"> plan of operation to conform to the changes in law made by the bill n</w:t>
            </w:r>
            <w:r>
              <w:t>ot later than the 60th day after the bill's effective date.</w:t>
            </w:r>
          </w:p>
          <w:p w14:paraId="1AC3F425" w14:textId="77777777" w:rsidR="008423E4" w:rsidRPr="00835628" w:rsidRDefault="008423E4" w:rsidP="00EE72A2">
            <w:pPr>
              <w:rPr>
                <w:b/>
              </w:rPr>
            </w:pPr>
          </w:p>
        </w:tc>
      </w:tr>
      <w:tr w:rsidR="00533E66" w14:paraId="48CAD67E" w14:textId="77777777" w:rsidTr="00C76212">
        <w:tc>
          <w:tcPr>
            <w:tcW w:w="9360" w:type="dxa"/>
          </w:tcPr>
          <w:p w14:paraId="60FD634D" w14:textId="77777777" w:rsidR="008423E4" w:rsidRPr="00A8133F" w:rsidRDefault="00BD1F7A" w:rsidP="00EE72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D7629A" w14:textId="77777777" w:rsidR="008423E4" w:rsidRDefault="008423E4" w:rsidP="00EE72A2"/>
          <w:p w14:paraId="28EEA1C9" w14:textId="3205DDD1" w:rsidR="008423E4" w:rsidRPr="003624F2" w:rsidRDefault="00BD1F7A" w:rsidP="00EE7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5C16EF7" w14:textId="77777777" w:rsidR="008423E4" w:rsidRPr="00233FDB" w:rsidRDefault="008423E4" w:rsidP="00EE72A2">
            <w:pPr>
              <w:rPr>
                <w:b/>
              </w:rPr>
            </w:pPr>
          </w:p>
        </w:tc>
      </w:tr>
      <w:tr w:rsidR="00533E66" w14:paraId="0AACC990" w14:textId="77777777" w:rsidTr="00C76212">
        <w:tc>
          <w:tcPr>
            <w:tcW w:w="9360" w:type="dxa"/>
          </w:tcPr>
          <w:p w14:paraId="2AD4E0DE" w14:textId="77777777" w:rsidR="00914961" w:rsidRDefault="00BD1F7A" w:rsidP="009149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3984E11" w14:textId="77777777" w:rsidR="00906629" w:rsidRDefault="00906629" w:rsidP="00914961">
            <w:pPr>
              <w:jc w:val="both"/>
              <w:rPr>
                <w:b/>
                <w:u w:val="single"/>
              </w:rPr>
            </w:pPr>
          </w:p>
          <w:p w14:paraId="6FA607E1" w14:textId="77777777" w:rsidR="00C76212" w:rsidRDefault="00BD1F7A" w:rsidP="00C76212">
            <w:pPr>
              <w:jc w:val="both"/>
            </w:pPr>
            <w:r>
              <w:t xml:space="preserve">While C.S.H.B. 769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4F8940FE" w14:textId="77777777" w:rsidR="00C76212" w:rsidRDefault="00C76212" w:rsidP="00C76212">
            <w:pPr>
              <w:jc w:val="both"/>
            </w:pPr>
          </w:p>
          <w:p w14:paraId="5F8F2CA9" w14:textId="77777777" w:rsidR="00C76212" w:rsidRDefault="00BD1F7A" w:rsidP="00C76212">
            <w:pPr>
              <w:jc w:val="both"/>
            </w:pPr>
            <w:r>
              <w:t xml:space="preserve">The substitute omits the provisions of the original that required TWIA member insurers to provide </w:t>
            </w:r>
            <w:r w:rsidRPr="009D73F1">
              <w:t>TWIA reinsurance</w:t>
            </w:r>
            <w:r w:rsidRPr="005D71CA">
              <w:t xml:space="preserve"> at no cost to TWIA</w:t>
            </w:r>
            <w:r>
              <w:t xml:space="preserve"> and the repealed </w:t>
            </w:r>
            <w:r w:rsidRPr="009D73F1">
              <w:t>provisions</w:t>
            </w:r>
            <w:r w:rsidRPr="009D73F1">
              <w:t xml:space="preserve"> relating to</w:t>
            </w:r>
            <w:r>
              <w:t xml:space="preserve"> the imposition of member assessments for</w:t>
            </w:r>
            <w:r w:rsidRPr="009D73F1">
              <w:t xml:space="preserve"> </w:t>
            </w:r>
            <w:r>
              <w:t xml:space="preserve">paying </w:t>
            </w:r>
            <w:r w:rsidRPr="009D73F1">
              <w:t>the cost of reinsurance or alternative financing mechanisms.</w:t>
            </w:r>
            <w:r>
              <w:t xml:space="preserve"> </w:t>
            </w:r>
          </w:p>
          <w:p w14:paraId="12B127D0" w14:textId="77777777" w:rsidR="00C76212" w:rsidRDefault="00C76212" w:rsidP="00C76212">
            <w:pPr>
              <w:jc w:val="both"/>
            </w:pPr>
          </w:p>
          <w:p w14:paraId="315116ED" w14:textId="5A9DED07" w:rsidR="00C76212" w:rsidRDefault="00BD1F7A" w:rsidP="00C76212">
            <w:pPr>
              <w:jc w:val="both"/>
            </w:pPr>
            <w:r>
              <w:t>The original included a prohibition against TWIA considering the cost of providing loss adjustments in determining the probable maxi</w:t>
            </w:r>
            <w:r>
              <w:t>mum loss. The substitute retains this prohibition but also includes provisions relating to TWIA's use of hurricane risk simulation models in making that determination</w:t>
            </w:r>
            <w:r w:rsidR="00D83EE7">
              <w:t xml:space="preserve"> as set out in the bill's provisions</w:t>
            </w:r>
            <w:r>
              <w:t>. The substitute includes a provision not in the origi</w:t>
            </w:r>
            <w:r>
              <w:t>nal requiring corresponding information to be made publicly available on the TWIA website.</w:t>
            </w:r>
          </w:p>
          <w:p w14:paraId="0EE95D10" w14:textId="77777777" w:rsidR="00C76212" w:rsidRDefault="00C76212" w:rsidP="00C76212">
            <w:pPr>
              <w:jc w:val="both"/>
            </w:pPr>
          </w:p>
          <w:p w14:paraId="29A3F5EC" w14:textId="21C26429" w:rsidR="00C76212" w:rsidRDefault="00BD1F7A" w:rsidP="00C76212">
            <w:pPr>
              <w:jc w:val="both"/>
            </w:pPr>
            <w:r>
              <w:t xml:space="preserve">Whereas the original prohibited a TWIA member insurer from </w:t>
            </w:r>
            <w:r w:rsidRPr="00DB5269">
              <w:t>purchas</w:t>
            </w:r>
            <w:r>
              <w:t>ing</w:t>
            </w:r>
            <w:r w:rsidRPr="00DB5269">
              <w:t xml:space="preserve"> reinsurance from an insurer that has prepared the risk model on which </w:t>
            </w:r>
            <w:r>
              <w:t>TWIA</w:t>
            </w:r>
            <w:r w:rsidRPr="00DB5269">
              <w:t xml:space="preserve"> relies in determini</w:t>
            </w:r>
            <w:r w:rsidRPr="00DB5269">
              <w:t>ng the probable maximum loss applicable for the period covered by the reinsurance</w:t>
            </w:r>
            <w:r>
              <w:t>, the substitute applies this prohibition</w:t>
            </w:r>
            <w:r w:rsidRPr="00F809C8">
              <w:t xml:space="preserve"> to TWIA itself</w:t>
            </w:r>
            <w:r w:rsidR="00714131">
              <w:t xml:space="preserve"> and extends the prohibition to apply to a broker involved in the execution of the risk model on which TWIA relies in determining maximum probable loss</w:t>
            </w:r>
            <w:r w:rsidRPr="00F809C8">
              <w:t>.</w:t>
            </w:r>
          </w:p>
          <w:p w14:paraId="121E20AD" w14:textId="77777777" w:rsidR="00C76212" w:rsidRDefault="00C76212" w:rsidP="00C76212">
            <w:pPr>
              <w:jc w:val="both"/>
            </w:pPr>
          </w:p>
          <w:p w14:paraId="28D83A55" w14:textId="77777777" w:rsidR="00C76212" w:rsidRDefault="00BD1F7A" w:rsidP="00C76212">
            <w:pPr>
              <w:jc w:val="both"/>
            </w:pPr>
            <w:r>
              <w:t xml:space="preserve">The substitute includes provisions not in the original that </w:t>
            </w:r>
            <w:r w:rsidRPr="00AC11DB">
              <w:t>do the</w:t>
            </w:r>
            <w:r>
              <w:t xml:space="preserve"> following:</w:t>
            </w:r>
          </w:p>
          <w:p w14:paraId="0A428C2D" w14:textId="77777777" w:rsidR="00C76212" w:rsidRDefault="00BD1F7A" w:rsidP="00C76212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30320">
              <w:t>continu</w:t>
            </w:r>
            <w:r>
              <w:t>e</w:t>
            </w:r>
            <w:r w:rsidRPr="00030320">
              <w:t xml:space="preserve"> the windstorm insurance legislative funding and funding structure oversight board and provisions</w:t>
            </w:r>
            <w:r>
              <w:t xml:space="preserve"> governing the board</w:t>
            </w:r>
            <w:r w:rsidRPr="00030320">
              <w:t xml:space="preserve"> and </w:t>
            </w:r>
            <w:r>
              <w:t xml:space="preserve">postpone the </w:t>
            </w:r>
            <w:r>
              <w:t>deadline for the board's report; and</w:t>
            </w:r>
          </w:p>
          <w:p w14:paraId="36083DCA" w14:textId="77777777" w:rsidR="00C76212" w:rsidRDefault="00BD1F7A" w:rsidP="00C7621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postpone the deadline by which the windstorm insurance legislative oversight board is required to submit a report </w:t>
            </w:r>
            <w:r w:rsidRPr="001D6835">
              <w:t>on a certain study</w:t>
            </w:r>
            <w:r>
              <w:t xml:space="preserve"> and the expiration of provisions relating to that study.</w:t>
            </w:r>
          </w:p>
          <w:p w14:paraId="753744FF" w14:textId="77777777" w:rsidR="00C76212" w:rsidRDefault="00C76212" w:rsidP="00C76212">
            <w:pPr>
              <w:jc w:val="both"/>
            </w:pPr>
          </w:p>
          <w:p w14:paraId="645EE9F0" w14:textId="77777777" w:rsidR="00C76212" w:rsidRDefault="00BD1F7A" w:rsidP="00C76212">
            <w:pPr>
              <w:jc w:val="both"/>
            </w:pPr>
            <w:r>
              <w:t>The substitute delays the de</w:t>
            </w:r>
            <w:r>
              <w:t xml:space="preserve">adline for TWIA to comply with the requirement to have its headquarters </w:t>
            </w:r>
            <w:r w:rsidRPr="00C57C64">
              <w:t>in a first or second tier coastal county</w:t>
            </w:r>
            <w:r>
              <w:t xml:space="preserve"> from January 1, 2022, as in the original, to January 1, 2023.</w:t>
            </w:r>
          </w:p>
          <w:p w14:paraId="28418D68" w14:textId="77777777" w:rsidR="00C76212" w:rsidRDefault="00C76212" w:rsidP="00C76212">
            <w:pPr>
              <w:jc w:val="both"/>
            </w:pPr>
          </w:p>
          <w:p w14:paraId="391F8E8F" w14:textId="75DA93DD" w:rsidR="00C76212" w:rsidRPr="00914961" w:rsidRDefault="00BD1F7A" w:rsidP="00C76212">
            <w:pPr>
              <w:jc w:val="both"/>
              <w:rPr>
                <w:b/>
                <w:u w:val="single"/>
              </w:rPr>
            </w:pPr>
            <w:r>
              <w:t>The substitute replaces the original's requirement for TWIA to amend its plan of</w:t>
            </w:r>
            <w:r>
              <w:t xml:space="preserve"> operations to conform to the bill's changes with a requirement for TDI to amend the plan.   </w:t>
            </w:r>
          </w:p>
        </w:tc>
      </w:tr>
    </w:tbl>
    <w:p w14:paraId="289374A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BEF963E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2E19" w14:textId="77777777" w:rsidR="00000000" w:rsidRDefault="00BD1F7A">
      <w:r>
        <w:separator/>
      </w:r>
    </w:p>
  </w:endnote>
  <w:endnote w:type="continuationSeparator" w:id="0">
    <w:p w14:paraId="005D4270" w14:textId="77777777" w:rsidR="00000000" w:rsidRDefault="00B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C3E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3E66" w14:paraId="32092560" w14:textId="77777777" w:rsidTr="009C1E9A">
      <w:trPr>
        <w:cantSplit/>
      </w:trPr>
      <w:tc>
        <w:tcPr>
          <w:tcW w:w="0" w:type="pct"/>
        </w:tcPr>
        <w:p w14:paraId="021A8D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A364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45F9D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8FB8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9A034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3E66" w14:paraId="07C1FA30" w14:textId="77777777" w:rsidTr="009C1E9A">
      <w:trPr>
        <w:cantSplit/>
      </w:trPr>
      <w:tc>
        <w:tcPr>
          <w:tcW w:w="0" w:type="pct"/>
        </w:tcPr>
        <w:p w14:paraId="23EBA8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ADC014" w14:textId="24DFCF6B" w:rsidR="00EC379B" w:rsidRPr="009C1E9A" w:rsidRDefault="00BD1F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22514</w:t>
          </w:r>
        </w:p>
      </w:tc>
      <w:tc>
        <w:tcPr>
          <w:tcW w:w="2453" w:type="pct"/>
        </w:tcPr>
        <w:p w14:paraId="7EAE8219" w14:textId="30B6BBD7" w:rsidR="00EC379B" w:rsidRDefault="00BD1F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B3F6E">
            <w:t>21.113.657</w:t>
          </w:r>
          <w:r>
            <w:fldChar w:fldCharType="end"/>
          </w:r>
        </w:p>
      </w:tc>
    </w:tr>
    <w:tr w:rsidR="00533E66" w14:paraId="630B53D5" w14:textId="77777777" w:rsidTr="009C1E9A">
      <w:trPr>
        <w:cantSplit/>
      </w:trPr>
      <w:tc>
        <w:tcPr>
          <w:tcW w:w="0" w:type="pct"/>
        </w:tcPr>
        <w:p w14:paraId="37A7B5B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F302C0" w14:textId="70A07392" w:rsidR="00EC379B" w:rsidRPr="009C1E9A" w:rsidRDefault="00BD1F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20512</w:t>
          </w:r>
        </w:p>
      </w:tc>
      <w:tc>
        <w:tcPr>
          <w:tcW w:w="2453" w:type="pct"/>
        </w:tcPr>
        <w:p w14:paraId="00BD4E5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739A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3E66" w14:paraId="2ECBB2E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9C00C0" w14:textId="681ABE1E" w:rsidR="00EC379B" w:rsidRDefault="00BD1F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B3F6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FD58E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9A704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EAE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B2EA" w14:textId="77777777" w:rsidR="00000000" w:rsidRDefault="00BD1F7A">
      <w:r>
        <w:separator/>
      </w:r>
    </w:p>
  </w:footnote>
  <w:footnote w:type="continuationSeparator" w:id="0">
    <w:p w14:paraId="7E46192A" w14:textId="77777777" w:rsidR="00000000" w:rsidRDefault="00BD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812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FB9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613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2A3E"/>
    <w:multiLevelType w:val="hybridMultilevel"/>
    <w:tmpl w:val="75AE0848"/>
    <w:lvl w:ilvl="0" w:tplc="3BFE0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A4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21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2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6C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09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8B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AA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2F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AE9"/>
    <w:multiLevelType w:val="hybridMultilevel"/>
    <w:tmpl w:val="3F586988"/>
    <w:lvl w:ilvl="0" w:tplc="504004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76CD5D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B7E0BF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FA2B69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66A7CD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FBC0C8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72AE2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8CE73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230DA7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5F43FF"/>
    <w:multiLevelType w:val="hybridMultilevel"/>
    <w:tmpl w:val="9AD6865C"/>
    <w:lvl w:ilvl="0" w:tplc="4C08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8E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40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CE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2C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E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00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63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80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29F9"/>
    <w:multiLevelType w:val="hybridMultilevel"/>
    <w:tmpl w:val="FFB438FE"/>
    <w:lvl w:ilvl="0" w:tplc="BF0EF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D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2B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85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8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84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E1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AB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EA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320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8C6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437"/>
    <w:rsid w:val="000D2EBA"/>
    <w:rsid w:val="000D32A1"/>
    <w:rsid w:val="000D3725"/>
    <w:rsid w:val="000D46E5"/>
    <w:rsid w:val="000D6A9D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333"/>
    <w:rsid w:val="00187C1B"/>
    <w:rsid w:val="001908AC"/>
    <w:rsid w:val="00190CFB"/>
    <w:rsid w:val="001931C3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220"/>
    <w:rsid w:val="001B75B8"/>
    <w:rsid w:val="001C1230"/>
    <w:rsid w:val="001C2BD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83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B5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914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08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AB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AF5"/>
    <w:rsid w:val="002E21B8"/>
    <w:rsid w:val="002E7DF9"/>
    <w:rsid w:val="002F097B"/>
    <w:rsid w:val="002F3111"/>
    <w:rsid w:val="002F4AEC"/>
    <w:rsid w:val="002F795D"/>
    <w:rsid w:val="00300823"/>
    <w:rsid w:val="00300D7F"/>
    <w:rsid w:val="00300F5C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5132"/>
    <w:rsid w:val="00346A2A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E71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27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107"/>
    <w:rsid w:val="004174CD"/>
    <w:rsid w:val="004241AA"/>
    <w:rsid w:val="0042422E"/>
    <w:rsid w:val="00426FD7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F6E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69B"/>
    <w:rsid w:val="004E5D4F"/>
    <w:rsid w:val="004E5DEA"/>
    <w:rsid w:val="004E6639"/>
    <w:rsid w:val="004E6BAE"/>
    <w:rsid w:val="004F0E2C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E66"/>
    <w:rsid w:val="00534A49"/>
    <w:rsid w:val="005363BB"/>
    <w:rsid w:val="00540172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1CA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C7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98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526"/>
    <w:rsid w:val="00712DDA"/>
    <w:rsid w:val="0071413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AFD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A15"/>
    <w:rsid w:val="007D7757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44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622"/>
    <w:rsid w:val="00867E38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803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752"/>
    <w:rsid w:val="00906629"/>
    <w:rsid w:val="00907780"/>
    <w:rsid w:val="00907EDD"/>
    <w:rsid w:val="009102DE"/>
    <w:rsid w:val="009107AD"/>
    <w:rsid w:val="00914961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85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73D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3CB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3F1"/>
    <w:rsid w:val="009E13BF"/>
    <w:rsid w:val="009E3631"/>
    <w:rsid w:val="009E3EB9"/>
    <w:rsid w:val="009E69C2"/>
    <w:rsid w:val="009E70AF"/>
    <w:rsid w:val="009E726B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9FD"/>
    <w:rsid w:val="00A4428B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D09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5F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C7C"/>
    <w:rsid w:val="00AB74E2"/>
    <w:rsid w:val="00AC11DB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1FD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7D1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B8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F7A"/>
    <w:rsid w:val="00BD4E55"/>
    <w:rsid w:val="00BD513B"/>
    <w:rsid w:val="00BD5E52"/>
    <w:rsid w:val="00BE00CD"/>
    <w:rsid w:val="00BE0E75"/>
    <w:rsid w:val="00BE1789"/>
    <w:rsid w:val="00BE18DC"/>
    <w:rsid w:val="00BE3634"/>
    <w:rsid w:val="00BE3E30"/>
    <w:rsid w:val="00BE443F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C64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212"/>
    <w:rsid w:val="00C7669F"/>
    <w:rsid w:val="00C76DFF"/>
    <w:rsid w:val="00C80B8F"/>
    <w:rsid w:val="00C81314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475"/>
    <w:rsid w:val="00CD37DA"/>
    <w:rsid w:val="00CD4F2C"/>
    <w:rsid w:val="00CD5129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D6D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04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EE7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269"/>
    <w:rsid w:val="00DB53C6"/>
    <w:rsid w:val="00DB59E3"/>
    <w:rsid w:val="00DB6CB6"/>
    <w:rsid w:val="00DB758F"/>
    <w:rsid w:val="00DC1F1B"/>
    <w:rsid w:val="00DC2EE6"/>
    <w:rsid w:val="00DC3D8F"/>
    <w:rsid w:val="00DC42E8"/>
    <w:rsid w:val="00DC6DBB"/>
    <w:rsid w:val="00DC7761"/>
    <w:rsid w:val="00DD0022"/>
    <w:rsid w:val="00DD073C"/>
    <w:rsid w:val="00DD128C"/>
    <w:rsid w:val="00DD1B8F"/>
    <w:rsid w:val="00DD3118"/>
    <w:rsid w:val="00DD5BCC"/>
    <w:rsid w:val="00DD5F02"/>
    <w:rsid w:val="00DD7509"/>
    <w:rsid w:val="00DD79C7"/>
    <w:rsid w:val="00DD7D6E"/>
    <w:rsid w:val="00DE34B2"/>
    <w:rsid w:val="00DE49DE"/>
    <w:rsid w:val="00DE5C58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8A9"/>
    <w:rsid w:val="00E500F1"/>
    <w:rsid w:val="00E51446"/>
    <w:rsid w:val="00E529C8"/>
    <w:rsid w:val="00E55DA0"/>
    <w:rsid w:val="00E56033"/>
    <w:rsid w:val="00E61159"/>
    <w:rsid w:val="00E625DA"/>
    <w:rsid w:val="00E634DC"/>
    <w:rsid w:val="00E66762"/>
    <w:rsid w:val="00E667F3"/>
    <w:rsid w:val="00E67794"/>
    <w:rsid w:val="00E70CC6"/>
    <w:rsid w:val="00E71254"/>
    <w:rsid w:val="00E73CCD"/>
    <w:rsid w:val="00E76453"/>
    <w:rsid w:val="00E77353"/>
    <w:rsid w:val="00E775AE"/>
    <w:rsid w:val="00E80F68"/>
    <w:rsid w:val="00E8272C"/>
    <w:rsid w:val="00E827C7"/>
    <w:rsid w:val="00E8354C"/>
    <w:rsid w:val="00E85DBD"/>
    <w:rsid w:val="00E87A99"/>
    <w:rsid w:val="00E90702"/>
    <w:rsid w:val="00E9241E"/>
    <w:rsid w:val="00E93DEF"/>
    <w:rsid w:val="00E947B1"/>
    <w:rsid w:val="00E960B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FB6"/>
    <w:rsid w:val="00EC41B1"/>
    <w:rsid w:val="00ED0665"/>
    <w:rsid w:val="00ED12C0"/>
    <w:rsid w:val="00ED19F0"/>
    <w:rsid w:val="00ED2B50"/>
    <w:rsid w:val="00ED3A32"/>
    <w:rsid w:val="00ED3BDE"/>
    <w:rsid w:val="00ED3F64"/>
    <w:rsid w:val="00ED68FB"/>
    <w:rsid w:val="00ED783A"/>
    <w:rsid w:val="00EE13B6"/>
    <w:rsid w:val="00EE2E34"/>
    <w:rsid w:val="00EE2E91"/>
    <w:rsid w:val="00EE3D27"/>
    <w:rsid w:val="00EE43A2"/>
    <w:rsid w:val="00EE46B7"/>
    <w:rsid w:val="00EE5A49"/>
    <w:rsid w:val="00EE664B"/>
    <w:rsid w:val="00EE72A2"/>
    <w:rsid w:val="00EF10BA"/>
    <w:rsid w:val="00EF1738"/>
    <w:rsid w:val="00EF2BAF"/>
    <w:rsid w:val="00EF3B8F"/>
    <w:rsid w:val="00EF543E"/>
    <w:rsid w:val="00EF559F"/>
    <w:rsid w:val="00EF5AA2"/>
    <w:rsid w:val="00EF6018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703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9C8"/>
    <w:rsid w:val="00F82811"/>
    <w:rsid w:val="00F84153"/>
    <w:rsid w:val="00F85661"/>
    <w:rsid w:val="00F96602"/>
    <w:rsid w:val="00F9735A"/>
    <w:rsid w:val="00F974D1"/>
    <w:rsid w:val="00FA32FC"/>
    <w:rsid w:val="00FA59FD"/>
    <w:rsid w:val="00FA5D8C"/>
    <w:rsid w:val="00FA6403"/>
    <w:rsid w:val="00FB16CD"/>
    <w:rsid w:val="00FB73AE"/>
    <w:rsid w:val="00FC5388"/>
    <w:rsid w:val="00FC726C"/>
    <w:rsid w:val="00FD11A4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5A7E29-9461-4A0B-9D77-526758A7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6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C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C7C"/>
    <w:rPr>
      <w:b/>
      <w:bCs/>
    </w:rPr>
  </w:style>
  <w:style w:type="character" w:styleId="Hyperlink">
    <w:name w:val="Hyperlink"/>
    <w:basedOn w:val="DefaultParagraphFont"/>
    <w:unhideWhenUsed/>
    <w:rsid w:val="00D05D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A6AB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46A2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6A2A"/>
    <w:rPr>
      <w:rFonts w:ascii="Consolas" w:hAnsi="Consolas"/>
    </w:rPr>
  </w:style>
  <w:style w:type="paragraph" w:styleId="ListParagraph">
    <w:name w:val="List Paragraph"/>
    <w:basedOn w:val="Normal"/>
    <w:uiPriority w:val="34"/>
    <w:qFormat/>
    <w:rsid w:val="00DB5269"/>
    <w:pPr>
      <w:ind w:left="720"/>
      <w:contextualSpacing/>
    </w:pPr>
  </w:style>
  <w:style w:type="paragraph" w:styleId="Revision">
    <w:name w:val="Revision"/>
    <w:hidden/>
    <w:uiPriority w:val="99"/>
    <w:semiHidden/>
    <w:rsid w:val="00910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5781</Characters>
  <Application>Microsoft Office Word</Application>
  <DocSecurity>4</DocSecurity>
  <Lines>129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HB00769 (Committee Report (Substituted))</vt:lpstr>
    </vt:vector>
  </TitlesOfParts>
  <Company>State of Texas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22514</dc:subject>
  <dc:creator>State of Texas</dc:creator>
  <dc:description>HB 769 by Middleton-(H)Insurance (Substitute Document Number: 87R 20512)</dc:description>
  <cp:lastModifiedBy>Stacey Nicchio</cp:lastModifiedBy>
  <cp:revision>2</cp:revision>
  <cp:lastPrinted>2003-11-26T17:21:00Z</cp:lastPrinted>
  <dcterms:created xsi:type="dcterms:W3CDTF">2021-04-23T21:48:00Z</dcterms:created>
  <dcterms:modified xsi:type="dcterms:W3CDTF">2021-04-23T21:48:00Z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21.113.657</vt:lpwstr>
  </property>
</Properties>
</file>