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31AB6" w14:paraId="62C6F2FF" w14:textId="77777777" w:rsidTr="00345119">
        <w:tc>
          <w:tcPr>
            <w:tcW w:w="9576" w:type="dxa"/>
            <w:noWrap/>
          </w:tcPr>
          <w:p w14:paraId="26F010F3" w14:textId="6A90C471" w:rsidR="008423E4" w:rsidRPr="0022177D" w:rsidRDefault="00880716" w:rsidP="0081762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5650DBC" w14:textId="77777777" w:rsidR="008423E4" w:rsidRPr="0022177D" w:rsidRDefault="008423E4" w:rsidP="00817622">
      <w:pPr>
        <w:jc w:val="center"/>
      </w:pPr>
    </w:p>
    <w:p w14:paraId="10CCAAC2" w14:textId="77777777" w:rsidR="008423E4" w:rsidRPr="00B31F0E" w:rsidRDefault="008423E4" w:rsidP="00817622"/>
    <w:p w14:paraId="16BF9691" w14:textId="77777777" w:rsidR="008423E4" w:rsidRPr="00742794" w:rsidRDefault="008423E4" w:rsidP="0081762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31AB6" w14:paraId="4C441821" w14:textId="77777777" w:rsidTr="00345119">
        <w:tc>
          <w:tcPr>
            <w:tcW w:w="9576" w:type="dxa"/>
          </w:tcPr>
          <w:p w14:paraId="4EFFF418" w14:textId="5422879F" w:rsidR="008423E4" w:rsidRPr="00861995" w:rsidRDefault="00880716" w:rsidP="00817622">
            <w:pPr>
              <w:jc w:val="right"/>
            </w:pPr>
            <w:r>
              <w:t>H.B. 770</w:t>
            </w:r>
          </w:p>
        </w:tc>
      </w:tr>
      <w:tr w:rsidR="00E31AB6" w14:paraId="276985DB" w14:textId="77777777" w:rsidTr="00345119">
        <w:tc>
          <w:tcPr>
            <w:tcW w:w="9576" w:type="dxa"/>
          </w:tcPr>
          <w:p w14:paraId="6B5E9AE7" w14:textId="395D15AA" w:rsidR="008423E4" w:rsidRPr="00861995" w:rsidRDefault="00880716" w:rsidP="00483B90">
            <w:pPr>
              <w:jc w:val="right"/>
            </w:pPr>
            <w:r>
              <w:t xml:space="preserve">By: </w:t>
            </w:r>
            <w:r w:rsidR="00483B90">
              <w:t>Wu</w:t>
            </w:r>
          </w:p>
        </w:tc>
      </w:tr>
      <w:tr w:rsidR="00E31AB6" w14:paraId="5595ACEF" w14:textId="77777777" w:rsidTr="00345119">
        <w:tc>
          <w:tcPr>
            <w:tcW w:w="9576" w:type="dxa"/>
          </w:tcPr>
          <w:p w14:paraId="1640F8CE" w14:textId="31458C90" w:rsidR="008423E4" w:rsidRPr="00861995" w:rsidRDefault="00880716" w:rsidP="00817622">
            <w:pPr>
              <w:jc w:val="right"/>
            </w:pPr>
            <w:r>
              <w:t>Licensing &amp; Administrative Procedures</w:t>
            </w:r>
          </w:p>
        </w:tc>
      </w:tr>
      <w:tr w:rsidR="00E31AB6" w14:paraId="3C64CFDC" w14:textId="77777777" w:rsidTr="00345119">
        <w:tc>
          <w:tcPr>
            <w:tcW w:w="9576" w:type="dxa"/>
          </w:tcPr>
          <w:p w14:paraId="6A182C35" w14:textId="04EB61FF" w:rsidR="008423E4" w:rsidRDefault="00880716" w:rsidP="00817622">
            <w:pPr>
              <w:jc w:val="right"/>
            </w:pPr>
            <w:r>
              <w:t>Committee Report (Unamended)</w:t>
            </w:r>
          </w:p>
        </w:tc>
      </w:tr>
    </w:tbl>
    <w:p w14:paraId="02870643" w14:textId="77777777" w:rsidR="008423E4" w:rsidRDefault="008423E4" w:rsidP="00817622">
      <w:pPr>
        <w:tabs>
          <w:tab w:val="right" w:pos="9360"/>
        </w:tabs>
      </w:pPr>
    </w:p>
    <w:p w14:paraId="1107FBEE" w14:textId="77777777" w:rsidR="008423E4" w:rsidRDefault="008423E4" w:rsidP="00817622"/>
    <w:p w14:paraId="7A5886CB" w14:textId="77777777" w:rsidR="008423E4" w:rsidRDefault="008423E4" w:rsidP="0081762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31AB6" w14:paraId="2963D75A" w14:textId="77777777" w:rsidTr="00345119">
        <w:tc>
          <w:tcPr>
            <w:tcW w:w="9576" w:type="dxa"/>
          </w:tcPr>
          <w:p w14:paraId="31380678" w14:textId="77777777" w:rsidR="008423E4" w:rsidRPr="00A8133F" w:rsidRDefault="00880716" w:rsidP="0081762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D5CF2A6" w14:textId="77777777" w:rsidR="008423E4" w:rsidRDefault="008423E4" w:rsidP="00817622"/>
          <w:p w14:paraId="69CC05C2" w14:textId="2E54CBA5" w:rsidR="008423E4" w:rsidRDefault="00880716" w:rsidP="008176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 w:rsidR="008F6CC5">
              <w:t>suggested</w:t>
            </w:r>
            <w:r>
              <w:t xml:space="preserve"> that t</w:t>
            </w:r>
            <w:r w:rsidR="00D8785E">
              <w:t>he game of poker</w:t>
            </w:r>
            <w:r>
              <w:t xml:space="preserve"> </w:t>
            </w:r>
            <w:r w:rsidR="008F6CC5">
              <w:t xml:space="preserve">is a betting game of skill rather than chance, </w:t>
            </w:r>
            <w:r>
              <w:t>but that individuals</w:t>
            </w:r>
            <w:r w:rsidR="00D8785E">
              <w:t xml:space="preserve"> wishing to form a </w:t>
            </w:r>
            <w:r w:rsidR="00FA686F">
              <w:t xml:space="preserve">commercial </w:t>
            </w:r>
            <w:r w:rsidR="00D8785E">
              <w:t xml:space="preserve">poker club often face </w:t>
            </w:r>
            <w:r w:rsidR="008F6CC5">
              <w:t xml:space="preserve">difficulties </w:t>
            </w:r>
            <w:r w:rsidR="00D8785E">
              <w:t xml:space="preserve">due to a lack of </w:t>
            </w:r>
            <w:r w:rsidR="008F6CC5">
              <w:t xml:space="preserve">clarity regarding the game's </w:t>
            </w:r>
            <w:r w:rsidR="00FA686F">
              <w:t>definition in statute</w:t>
            </w:r>
            <w:r w:rsidR="00D8785E">
              <w:t>. H</w:t>
            </w:r>
            <w:r>
              <w:t>.</w:t>
            </w:r>
            <w:r w:rsidR="00D8785E">
              <w:t>B</w:t>
            </w:r>
            <w:r>
              <w:t>.</w:t>
            </w:r>
            <w:r w:rsidR="00D8785E">
              <w:t xml:space="preserve"> 770 </w:t>
            </w:r>
            <w:r>
              <w:t xml:space="preserve">seeks to </w:t>
            </w:r>
            <w:r w:rsidR="000D1821">
              <w:t>address this issue</w:t>
            </w:r>
            <w:r>
              <w:t xml:space="preserve"> by</w:t>
            </w:r>
            <w:r w:rsidR="00D8785E">
              <w:t xml:space="preserve"> authoriz</w:t>
            </w:r>
            <w:r>
              <w:t>ing</w:t>
            </w:r>
            <w:r w:rsidR="00D8785E">
              <w:t xml:space="preserve"> </w:t>
            </w:r>
            <w:r>
              <w:t xml:space="preserve">the </w:t>
            </w:r>
            <w:r w:rsidR="00CF6CC6">
              <w:t xml:space="preserve">licensing and </w:t>
            </w:r>
            <w:r w:rsidR="00D8785E">
              <w:t>regulat</w:t>
            </w:r>
            <w:r>
              <w:t>ion of</w:t>
            </w:r>
            <w:r w:rsidR="00D8785E">
              <w:t xml:space="preserve"> poker clubs in counties</w:t>
            </w:r>
            <w:r w:rsidR="00FA686F">
              <w:t xml:space="preserve"> with a population greater than four million</w:t>
            </w:r>
            <w:r>
              <w:t xml:space="preserve">. </w:t>
            </w:r>
          </w:p>
          <w:p w14:paraId="7C998A84" w14:textId="12ABF468" w:rsidR="009B2EEC" w:rsidRPr="00E26B13" w:rsidRDefault="009B2EEC" w:rsidP="0081762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31AB6" w14:paraId="37D053D3" w14:textId="77777777" w:rsidTr="00345119">
        <w:tc>
          <w:tcPr>
            <w:tcW w:w="9576" w:type="dxa"/>
          </w:tcPr>
          <w:p w14:paraId="764969BD" w14:textId="77777777" w:rsidR="0017725B" w:rsidRDefault="00880716" w:rsidP="008176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96A73E3" w14:textId="77777777" w:rsidR="0017725B" w:rsidRDefault="0017725B" w:rsidP="00817622">
            <w:pPr>
              <w:rPr>
                <w:b/>
                <w:u w:val="single"/>
              </w:rPr>
            </w:pPr>
          </w:p>
          <w:p w14:paraId="16A03872" w14:textId="4D73F490" w:rsidR="00700FE5" w:rsidRPr="00700FE5" w:rsidRDefault="00880716" w:rsidP="00817622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existing criminal offense or category of </w:t>
            </w:r>
            <w:r>
              <w:t>offenses, or changes the eligibility of a person for community supervision, parole, or mandatory supervision.</w:t>
            </w:r>
          </w:p>
          <w:p w14:paraId="2F3FA601" w14:textId="77777777" w:rsidR="0017725B" w:rsidRPr="0017725B" w:rsidRDefault="0017725B" w:rsidP="00817622">
            <w:pPr>
              <w:rPr>
                <w:b/>
                <w:u w:val="single"/>
              </w:rPr>
            </w:pPr>
          </w:p>
        </w:tc>
      </w:tr>
      <w:tr w:rsidR="00E31AB6" w14:paraId="13F02522" w14:textId="77777777" w:rsidTr="00345119">
        <w:tc>
          <w:tcPr>
            <w:tcW w:w="9576" w:type="dxa"/>
          </w:tcPr>
          <w:p w14:paraId="4E2C88DD" w14:textId="77777777" w:rsidR="008423E4" w:rsidRPr="00A8133F" w:rsidRDefault="00880716" w:rsidP="0081762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D8B5D81" w14:textId="77777777" w:rsidR="008423E4" w:rsidRDefault="008423E4" w:rsidP="00817622"/>
          <w:p w14:paraId="14A2E466" w14:textId="12F2AED7" w:rsidR="00700FE5" w:rsidRDefault="00880716" w:rsidP="008176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</w:t>
            </w:r>
            <w:r>
              <w:t>cer, department, agency, or institution.</w:t>
            </w:r>
          </w:p>
          <w:p w14:paraId="327A2BD4" w14:textId="77777777" w:rsidR="008423E4" w:rsidRPr="00E21FDC" w:rsidRDefault="008423E4" w:rsidP="00817622">
            <w:pPr>
              <w:rPr>
                <w:b/>
              </w:rPr>
            </w:pPr>
          </w:p>
        </w:tc>
      </w:tr>
      <w:tr w:rsidR="00E31AB6" w14:paraId="6FDFC5DB" w14:textId="77777777" w:rsidTr="00345119">
        <w:tc>
          <w:tcPr>
            <w:tcW w:w="9576" w:type="dxa"/>
          </w:tcPr>
          <w:p w14:paraId="7ECD36E8" w14:textId="77777777" w:rsidR="008423E4" w:rsidRPr="00A8133F" w:rsidRDefault="00880716" w:rsidP="0081762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1C04CE8" w14:textId="77777777" w:rsidR="008423E4" w:rsidRDefault="008423E4" w:rsidP="00817622"/>
          <w:p w14:paraId="22468818" w14:textId="4B1D47E0" w:rsidR="008423E4" w:rsidRDefault="00880716" w:rsidP="008176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770 amends the </w:t>
            </w:r>
            <w:r w:rsidRPr="005F67FB">
              <w:t>Local Government Code</w:t>
            </w:r>
            <w:r>
              <w:t xml:space="preserve"> to </w:t>
            </w:r>
            <w:r w:rsidR="004D7268">
              <w:t xml:space="preserve">authorize </w:t>
            </w:r>
            <w:r w:rsidR="004D7268" w:rsidRPr="004D7268">
              <w:t>the commissioners court of a county</w:t>
            </w:r>
            <w:r w:rsidR="004D7268">
              <w:t xml:space="preserve"> </w:t>
            </w:r>
            <w:r w:rsidR="004D7268" w:rsidRPr="004D7268">
              <w:t>with a population of four million or more</w:t>
            </w:r>
            <w:r w:rsidR="006761C5">
              <w:t xml:space="preserve"> </w:t>
            </w:r>
            <w:r w:rsidR="004D7268">
              <w:t xml:space="preserve">to </w:t>
            </w:r>
            <w:r w:rsidR="004D7268" w:rsidRPr="004D7268">
              <w:t xml:space="preserve">regulate the operation of </w:t>
            </w:r>
            <w:r w:rsidR="00287F23">
              <w:t xml:space="preserve">private, for-profit </w:t>
            </w:r>
            <w:r w:rsidR="004D7268" w:rsidRPr="004D7268">
              <w:t>poker clubs</w:t>
            </w:r>
            <w:r w:rsidR="004D7268">
              <w:t xml:space="preserve">, </w:t>
            </w:r>
            <w:r w:rsidR="00D676CC">
              <w:t xml:space="preserve">including </w:t>
            </w:r>
            <w:r w:rsidR="00F47AED">
              <w:t xml:space="preserve">through restricting the location and number of poker clubs in the county. </w:t>
            </w:r>
            <w:r w:rsidR="000C51E5">
              <w:t xml:space="preserve">The bill </w:t>
            </w:r>
            <w:r w:rsidR="00A53072">
              <w:t>authorizes a county to</w:t>
            </w:r>
            <w:r w:rsidR="00CE212C">
              <w:t xml:space="preserve"> require</w:t>
            </w:r>
            <w:r w:rsidR="00A53072">
              <w:t xml:space="preserve"> </w:t>
            </w:r>
            <w:r w:rsidR="00A53072" w:rsidRPr="00A53072">
              <w:t>a poker club owner or operator</w:t>
            </w:r>
            <w:r w:rsidR="00A53072">
              <w:t xml:space="preserve">, as defined by the bill, to </w:t>
            </w:r>
            <w:r w:rsidR="00A53072" w:rsidRPr="00A53072">
              <w:t>obtain or renew a license on a periodic basis to own or operate a poker club in the county</w:t>
            </w:r>
            <w:r w:rsidR="00C44311">
              <w:t xml:space="preserve"> and to impose a fe</w:t>
            </w:r>
            <w:r w:rsidR="003A05F2">
              <w:t>e for the license application</w:t>
            </w:r>
            <w:r w:rsidR="00C44311">
              <w:t xml:space="preserve"> or renewal</w:t>
            </w:r>
            <w:r w:rsidR="00A53072" w:rsidRPr="00A53072">
              <w:t>.</w:t>
            </w:r>
            <w:r w:rsidR="00A53072">
              <w:t xml:space="preserve"> </w:t>
            </w:r>
            <w:r w:rsidR="003A05F2">
              <w:t>An</w:t>
            </w:r>
            <w:r w:rsidR="00391FD8">
              <w:t xml:space="preserve"> </w:t>
            </w:r>
            <w:r w:rsidR="009F1248">
              <w:t>application for the license</w:t>
            </w:r>
            <w:r w:rsidR="003A05F2">
              <w:t xml:space="preserve"> must be made in accordance with county regulations, which</w:t>
            </w:r>
            <w:r w:rsidR="009F1248">
              <w:t xml:space="preserve"> </w:t>
            </w:r>
            <w:r w:rsidR="003A05F2">
              <w:t xml:space="preserve">may establish qualifications for an owner or operator and </w:t>
            </w:r>
            <w:r w:rsidR="009F1248">
              <w:t xml:space="preserve">provide for the </w:t>
            </w:r>
            <w:r w:rsidR="009F1248" w:rsidRPr="009F1248">
              <w:t>denial, suspension, or revoca</w:t>
            </w:r>
            <w:r w:rsidR="009F1248">
              <w:t>tion of a license for certain violations</w:t>
            </w:r>
            <w:r w:rsidR="00804CE6">
              <w:t xml:space="preserve">. </w:t>
            </w:r>
            <w:r w:rsidR="003A05F2">
              <w:t xml:space="preserve">A </w:t>
            </w:r>
            <w:r w:rsidR="00E30820">
              <w:t>district court</w:t>
            </w:r>
            <w:r w:rsidR="003A05F2">
              <w:t xml:space="preserve"> in the county</w:t>
            </w:r>
            <w:r w:rsidR="00E30820">
              <w:t xml:space="preserve"> has </w:t>
            </w:r>
            <w:r w:rsidR="00E30820" w:rsidRPr="00BC007A">
              <w:t>jurisdiction of a suit that arises from the denial, suspension, or revocation of a license by the county</w:t>
            </w:r>
            <w:r w:rsidR="00E30820">
              <w:t>.</w:t>
            </w:r>
          </w:p>
          <w:p w14:paraId="06DFC4D5" w14:textId="77777777" w:rsidR="00F85636" w:rsidRDefault="00F85636" w:rsidP="008176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E3E4B7C" w14:textId="46992EEF" w:rsidR="00F85636" w:rsidRDefault="00880716" w:rsidP="008176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770 authorizes </w:t>
            </w:r>
            <w:r w:rsidR="007137AA">
              <w:t xml:space="preserve">a county employee to </w:t>
            </w:r>
            <w:r w:rsidR="007137AA" w:rsidRPr="007137AA">
              <w:t>inspect a business containing one or more poker gaming tables to determine whether the business is in compliance with</w:t>
            </w:r>
            <w:r w:rsidR="007137AA">
              <w:t xml:space="preserve"> the bill's provisions </w:t>
            </w:r>
            <w:r w:rsidR="0046336C">
              <w:t>and</w:t>
            </w:r>
            <w:r w:rsidR="00700FE5">
              <w:t xml:space="preserve"> authorizes a county to sue </w:t>
            </w:r>
            <w:r w:rsidR="00700FE5" w:rsidRPr="00700FE5">
              <w:t xml:space="preserve">in district court for an injunction to prohibit the violation or threatened violation of </w:t>
            </w:r>
            <w:r w:rsidR="00700FE5">
              <w:t>a regulation or order adopted to regulate poker clubs</w:t>
            </w:r>
            <w:r w:rsidR="009A1E46">
              <w:t xml:space="preserve">. The bill </w:t>
            </w:r>
            <w:r w:rsidR="00700FE5">
              <w:t xml:space="preserve">makes a person who violates such a regulation or order liable </w:t>
            </w:r>
            <w:r w:rsidR="00700FE5" w:rsidRPr="00700FE5">
              <w:t xml:space="preserve">to the county for a </w:t>
            </w:r>
            <w:r w:rsidR="009A1E46">
              <w:t xml:space="preserve">maximum </w:t>
            </w:r>
            <w:r w:rsidR="002622C5">
              <w:t xml:space="preserve">$10,000 </w:t>
            </w:r>
            <w:r w:rsidR="00700FE5" w:rsidRPr="00700FE5">
              <w:t>civil penalty</w:t>
            </w:r>
            <w:r w:rsidR="002622C5">
              <w:t xml:space="preserve"> </w:t>
            </w:r>
            <w:r w:rsidR="00700FE5" w:rsidRPr="00700FE5">
              <w:t>for each violation</w:t>
            </w:r>
            <w:r w:rsidR="009A1E46">
              <w:t>, authorizes the county to bring suit in district court to recover the penalty</w:t>
            </w:r>
            <w:r w:rsidR="002622C5">
              <w:t xml:space="preserve">, </w:t>
            </w:r>
            <w:r w:rsidR="009A1E46">
              <w:t xml:space="preserve">and </w:t>
            </w:r>
            <w:r w:rsidR="002622C5">
              <w:t>entitles the county to recover</w:t>
            </w:r>
            <w:r w:rsidR="009A1E46">
              <w:t xml:space="preserve"> reasonable expenses</w:t>
            </w:r>
            <w:r w:rsidR="002622C5">
              <w:t xml:space="preserve"> incurred in obtaining the relief, penalty, or both</w:t>
            </w:r>
            <w:r w:rsidR="009A1E46">
              <w:t xml:space="preserve">. </w:t>
            </w:r>
          </w:p>
          <w:p w14:paraId="728A72AD" w14:textId="77777777" w:rsidR="009A1E46" w:rsidRDefault="009A1E46" w:rsidP="008176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ED32B17" w14:textId="4B32945C" w:rsidR="009A1E46" w:rsidRDefault="00880716" w:rsidP="008176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770 creates a Class A misdemeanor offense for a person who </w:t>
            </w:r>
            <w:r w:rsidRPr="009A1E46">
              <w:t>intentionally or knowingly operates a poker club in violation of a</w:t>
            </w:r>
            <w:r w:rsidR="00B84EEF">
              <w:t xml:space="preserve"> </w:t>
            </w:r>
            <w:r w:rsidRPr="009A1E46">
              <w:t>regu</w:t>
            </w:r>
            <w:r w:rsidRPr="009A1E46">
              <w:t>lation or order</w:t>
            </w:r>
            <w:r w:rsidR="002622C5">
              <w:t xml:space="preserve"> adopted under the bill's provisions</w:t>
            </w:r>
            <w:r>
              <w:t xml:space="preserve">. </w:t>
            </w:r>
            <w:r w:rsidR="006761C5" w:rsidRPr="006761C5">
              <w:t xml:space="preserve">If a person is subject to prosecution </w:t>
            </w:r>
            <w:r w:rsidR="006761C5">
              <w:t xml:space="preserve">for that offense and prosecution under any other law, the person may be </w:t>
            </w:r>
            <w:r w:rsidR="006761C5" w:rsidRPr="006761C5">
              <w:t xml:space="preserve">prosecuted under either or both laws. </w:t>
            </w:r>
            <w:r w:rsidR="004B1B5A">
              <w:t xml:space="preserve">The bill expressly does not legalize any </w:t>
            </w:r>
            <w:r w:rsidR="004B1B5A" w:rsidRPr="004B1B5A">
              <w:t xml:space="preserve">activity prohibited under </w:t>
            </w:r>
            <w:r w:rsidR="00E25C86">
              <w:t xml:space="preserve">the Penal Code or other </w:t>
            </w:r>
            <w:r w:rsidR="004B1B5A" w:rsidRPr="004B1B5A">
              <w:t>state law</w:t>
            </w:r>
            <w:r w:rsidR="004B1B5A">
              <w:t xml:space="preserve"> and establishes that a person's compliance with the bill's provisions </w:t>
            </w:r>
            <w:r w:rsidR="004B1B5A" w:rsidRPr="004B1B5A">
              <w:t>is not a defense to prosecution for</w:t>
            </w:r>
            <w:r w:rsidR="0061383C">
              <w:t xml:space="preserve"> a</w:t>
            </w:r>
            <w:r w:rsidR="00B84EEF">
              <w:t xml:space="preserve"> gambling</w:t>
            </w:r>
            <w:r w:rsidR="0061383C">
              <w:t xml:space="preserve"> offense. </w:t>
            </w:r>
          </w:p>
          <w:p w14:paraId="2EEB71BF" w14:textId="77777777" w:rsidR="00E30820" w:rsidRDefault="00E30820" w:rsidP="008176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078EE2C" w14:textId="77777777" w:rsidR="00287F23" w:rsidRDefault="00880716" w:rsidP="008176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770</w:t>
            </w:r>
            <w:r w:rsidR="000C51E5">
              <w:t xml:space="preserve"> establishes th</w:t>
            </w:r>
            <w:r>
              <w:t>e following:</w:t>
            </w:r>
          </w:p>
          <w:p w14:paraId="0FA745D1" w14:textId="37A8C111" w:rsidR="00287F23" w:rsidRDefault="00880716" w:rsidP="0081762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county order </w:t>
            </w:r>
            <w:r w:rsidR="00B84EEF">
              <w:t>regulating</w:t>
            </w:r>
            <w:r w:rsidR="000C51E5">
              <w:t xml:space="preserve"> poker clubs </w:t>
            </w:r>
            <w:r>
              <w:t xml:space="preserve">prevails over </w:t>
            </w:r>
            <w:r w:rsidR="000C51E5">
              <w:t xml:space="preserve">a municipal ordinance, </w:t>
            </w:r>
            <w:r>
              <w:t>to the extent of a conflict; and</w:t>
            </w:r>
          </w:p>
          <w:p w14:paraId="78235E84" w14:textId="69DF23F5" w:rsidR="000C51E5" w:rsidRDefault="00880716" w:rsidP="0081762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county's authority to regulate poker clubs is </w:t>
            </w:r>
            <w:r w:rsidRPr="009A1E46">
              <w:t>cumulative of other authority a county is granted to regulate poker clubs and does not limit that authority.</w:t>
            </w:r>
          </w:p>
          <w:p w14:paraId="518ED720" w14:textId="4A7EA8ED" w:rsidR="0046336C" w:rsidRPr="00835628" w:rsidRDefault="0046336C" w:rsidP="0081762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31AB6" w14:paraId="1A5C62E3" w14:textId="77777777" w:rsidTr="00345119">
        <w:tc>
          <w:tcPr>
            <w:tcW w:w="9576" w:type="dxa"/>
          </w:tcPr>
          <w:p w14:paraId="76B65D96" w14:textId="77777777" w:rsidR="008423E4" w:rsidRPr="00A8133F" w:rsidRDefault="00880716" w:rsidP="0081762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D314D96" w14:textId="77777777" w:rsidR="008423E4" w:rsidRDefault="008423E4" w:rsidP="00817622"/>
          <w:p w14:paraId="289C9712" w14:textId="7F61BDAB" w:rsidR="008423E4" w:rsidRPr="00233FDB" w:rsidRDefault="00880716" w:rsidP="008176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</w:t>
            </w:r>
            <w:r>
              <w:t>, or, if the bill does not receive the necessary vote, September 1, 2021.</w:t>
            </w:r>
          </w:p>
        </w:tc>
      </w:tr>
    </w:tbl>
    <w:p w14:paraId="654A4DAB" w14:textId="77777777" w:rsidR="008423E4" w:rsidRPr="00BE0E75" w:rsidRDefault="008423E4" w:rsidP="00817622">
      <w:pPr>
        <w:jc w:val="both"/>
        <w:rPr>
          <w:rFonts w:ascii="Arial" w:hAnsi="Arial"/>
          <w:sz w:val="16"/>
          <w:szCs w:val="16"/>
        </w:rPr>
      </w:pPr>
    </w:p>
    <w:p w14:paraId="6E928397" w14:textId="77777777" w:rsidR="004108C3" w:rsidRPr="008423E4" w:rsidRDefault="004108C3" w:rsidP="0081762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C019" w14:textId="77777777" w:rsidR="00000000" w:rsidRDefault="00880716">
      <w:r>
        <w:separator/>
      </w:r>
    </w:p>
  </w:endnote>
  <w:endnote w:type="continuationSeparator" w:id="0">
    <w:p w14:paraId="510CF064" w14:textId="77777777" w:rsidR="00000000" w:rsidRDefault="0088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27F5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31AB6" w14:paraId="323F7579" w14:textId="77777777" w:rsidTr="009C1E9A">
      <w:trPr>
        <w:cantSplit/>
      </w:trPr>
      <w:tc>
        <w:tcPr>
          <w:tcW w:w="0" w:type="pct"/>
        </w:tcPr>
        <w:p w14:paraId="21C347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921E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FA1299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C579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6E034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1AB6" w14:paraId="0B9DF68A" w14:textId="77777777" w:rsidTr="009C1E9A">
      <w:trPr>
        <w:cantSplit/>
      </w:trPr>
      <w:tc>
        <w:tcPr>
          <w:tcW w:w="0" w:type="pct"/>
        </w:tcPr>
        <w:p w14:paraId="478A80D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7DA8CD" w14:textId="3B2E0D07" w:rsidR="00EC379B" w:rsidRPr="009C1E9A" w:rsidRDefault="0088071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18414</w:t>
          </w:r>
        </w:p>
      </w:tc>
      <w:tc>
        <w:tcPr>
          <w:tcW w:w="2453" w:type="pct"/>
        </w:tcPr>
        <w:p w14:paraId="1AC17B25" w14:textId="0209BCDA" w:rsidR="00EC379B" w:rsidRDefault="008807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9349D">
            <w:t>21.91.1553</w:t>
          </w:r>
          <w:r>
            <w:fldChar w:fldCharType="end"/>
          </w:r>
        </w:p>
      </w:tc>
    </w:tr>
    <w:tr w:rsidR="00E31AB6" w14:paraId="7FF3D9CD" w14:textId="77777777" w:rsidTr="009C1E9A">
      <w:trPr>
        <w:cantSplit/>
      </w:trPr>
      <w:tc>
        <w:tcPr>
          <w:tcW w:w="0" w:type="pct"/>
        </w:tcPr>
        <w:p w14:paraId="4607B32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0716AD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A1B808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C1DD7F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1AB6" w14:paraId="1A89E7F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8F785F5" w14:textId="5E6C0989" w:rsidR="00EC379B" w:rsidRDefault="008807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9349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ADAE4D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794E31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9C8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B74BF" w14:textId="77777777" w:rsidR="00000000" w:rsidRDefault="00880716">
      <w:r>
        <w:separator/>
      </w:r>
    </w:p>
  </w:footnote>
  <w:footnote w:type="continuationSeparator" w:id="0">
    <w:p w14:paraId="69C35C2A" w14:textId="77777777" w:rsidR="00000000" w:rsidRDefault="0088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750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FF21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63EC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71A23"/>
    <w:multiLevelType w:val="hybridMultilevel"/>
    <w:tmpl w:val="AFE80008"/>
    <w:lvl w:ilvl="0" w:tplc="8E502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320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6AF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A0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49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16D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EB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C6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E1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47885"/>
    <w:multiLevelType w:val="hybridMultilevel"/>
    <w:tmpl w:val="C21C37C0"/>
    <w:lvl w:ilvl="0" w:tplc="9918A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C3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AC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61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01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367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83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0C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2E5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F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51E5"/>
    <w:rsid w:val="000C6DC1"/>
    <w:rsid w:val="000C6E20"/>
    <w:rsid w:val="000C76D7"/>
    <w:rsid w:val="000C7F1D"/>
    <w:rsid w:val="000D1821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5106"/>
    <w:rsid w:val="00127893"/>
    <w:rsid w:val="001312BB"/>
    <w:rsid w:val="00137D90"/>
    <w:rsid w:val="00141FB6"/>
    <w:rsid w:val="00142F8E"/>
    <w:rsid w:val="00143C8B"/>
    <w:rsid w:val="00147530"/>
    <w:rsid w:val="0015331F"/>
    <w:rsid w:val="00154D13"/>
    <w:rsid w:val="00156AB2"/>
    <w:rsid w:val="0016011F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B0B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6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2C5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87F23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15A"/>
    <w:rsid w:val="00377E3D"/>
    <w:rsid w:val="003847E8"/>
    <w:rsid w:val="0038731D"/>
    <w:rsid w:val="00387B60"/>
    <w:rsid w:val="00390098"/>
    <w:rsid w:val="00391FD8"/>
    <w:rsid w:val="00392DA1"/>
    <w:rsid w:val="00393718"/>
    <w:rsid w:val="003A0296"/>
    <w:rsid w:val="003A05F2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0CDD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36C"/>
    <w:rsid w:val="004707B1"/>
    <w:rsid w:val="00474927"/>
    <w:rsid w:val="00475913"/>
    <w:rsid w:val="00480080"/>
    <w:rsid w:val="004824A7"/>
    <w:rsid w:val="00483AF0"/>
    <w:rsid w:val="00483B9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1B5A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7268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15D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1C65"/>
    <w:rsid w:val="005C2B21"/>
    <w:rsid w:val="005C2C00"/>
    <w:rsid w:val="005C4C6F"/>
    <w:rsid w:val="005C5127"/>
    <w:rsid w:val="005C7CCB"/>
    <w:rsid w:val="005C7FAD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7FB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83C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61C5"/>
    <w:rsid w:val="0068127E"/>
    <w:rsid w:val="00681790"/>
    <w:rsid w:val="006823AA"/>
    <w:rsid w:val="00684B98"/>
    <w:rsid w:val="00685DC9"/>
    <w:rsid w:val="00687465"/>
    <w:rsid w:val="006907CF"/>
    <w:rsid w:val="00691CCF"/>
    <w:rsid w:val="0069349D"/>
    <w:rsid w:val="00693AFA"/>
    <w:rsid w:val="00695101"/>
    <w:rsid w:val="00695B9A"/>
    <w:rsid w:val="00696563"/>
    <w:rsid w:val="006979F8"/>
    <w:rsid w:val="006A2A9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2E2A"/>
    <w:rsid w:val="006F365D"/>
    <w:rsid w:val="006F4BB0"/>
    <w:rsid w:val="00700FE5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7A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CE6"/>
    <w:rsid w:val="00805402"/>
    <w:rsid w:val="0080765F"/>
    <w:rsid w:val="00812BE3"/>
    <w:rsid w:val="00814516"/>
    <w:rsid w:val="00815C9D"/>
    <w:rsid w:val="008170E2"/>
    <w:rsid w:val="0081762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1E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0716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6CC5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841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1E46"/>
    <w:rsid w:val="009A39F5"/>
    <w:rsid w:val="009A3C41"/>
    <w:rsid w:val="009A4588"/>
    <w:rsid w:val="009A5EA5"/>
    <w:rsid w:val="009B00C2"/>
    <w:rsid w:val="009B26AB"/>
    <w:rsid w:val="009B2EEC"/>
    <w:rsid w:val="009B3476"/>
    <w:rsid w:val="009B39BC"/>
    <w:rsid w:val="009B5069"/>
    <w:rsid w:val="009B69AD"/>
    <w:rsid w:val="009B7806"/>
    <w:rsid w:val="009C05C1"/>
    <w:rsid w:val="009C0604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248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072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49A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EC5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358"/>
    <w:rsid w:val="00B626A8"/>
    <w:rsid w:val="00B65695"/>
    <w:rsid w:val="00B66526"/>
    <w:rsid w:val="00B665A3"/>
    <w:rsid w:val="00B70BBA"/>
    <w:rsid w:val="00B73BB4"/>
    <w:rsid w:val="00B80532"/>
    <w:rsid w:val="00B82039"/>
    <w:rsid w:val="00B82454"/>
    <w:rsid w:val="00B84EEF"/>
    <w:rsid w:val="00B90097"/>
    <w:rsid w:val="00B90999"/>
    <w:rsid w:val="00B91AD7"/>
    <w:rsid w:val="00B92D23"/>
    <w:rsid w:val="00B94CB3"/>
    <w:rsid w:val="00B95BC8"/>
    <w:rsid w:val="00B96E87"/>
    <w:rsid w:val="00BA146A"/>
    <w:rsid w:val="00BA32EE"/>
    <w:rsid w:val="00BB23D4"/>
    <w:rsid w:val="00BB5B36"/>
    <w:rsid w:val="00BC007A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0174"/>
    <w:rsid w:val="00C119AC"/>
    <w:rsid w:val="00C14EE6"/>
    <w:rsid w:val="00C151DA"/>
    <w:rsid w:val="00C152A1"/>
    <w:rsid w:val="00C15F87"/>
    <w:rsid w:val="00C16CCB"/>
    <w:rsid w:val="00C173C9"/>
    <w:rsid w:val="00C17970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4311"/>
    <w:rsid w:val="00C46166"/>
    <w:rsid w:val="00C4710D"/>
    <w:rsid w:val="00C50CAD"/>
    <w:rsid w:val="00C57933"/>
    <w:rsid w:val="00C57B61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2C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CC6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6A2"/>
    <w:rsid w:val="00D2301B"/>
    <w:rsid w:val="00D239EE"/>
    <w:rsid w:val="00D30534"/>
    <w:rsid w:val="00D35728"/>
    <w:rsid w:val="00D358B6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76CC"/>
    <w:rsid w:val="00D700B1"/>
    <w:rsid w:val="00D730FA"/>
    <w:rsid w:val="00D76631"/>
    <w:rsid w:val="00D768B7"/>
    <w:rsid w:val="00D77492"/>
    <w:rsid w:val="00D811E8"/>
    <w:rsid w:val="00D814D0"/>
    <w:rsid w:val="00D81A44"/>
    <w:rsid w:val="00D83072"/>
    <w:rsid w:val="00D83ABC"/>
    <w:rsid w:val="00D84870"/>
    <w:rsid w:val="00D8785E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57FE"/>
    <w:rsid w:val="00E25C86"/>
    <w:rsid w:val="00E26B13"/>
    <w:rsid w:val="00E27E5A"/>
    <w:rsid w:val="00E30820"/>
    <w:rsid w:val="00E31135"/>
    <w:rsid w:val="00E317BA"/>
    <w:rsid w:val="00E31AB6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CF4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AED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36"/>
    <w:rsid w:val="00F85661"/>
    <w:rsid w:val="00F96602"/>
    <w:rsid w:val="00F9735A"/>
    <w:rsid w:val="00FA32FC"/>
    <w:rsid w:val="00FA59FD"/>
    <w:rsid w:val="00FA5D8C"/>
    <w:rsid w:val="00FA6403"/>
    <w:rsid w:val="00FA686F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C24472-417F-4A9A-BBD9-725163D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07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0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07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0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07B1"/>
    <w:rPr>
      <w:b/>
      <w:bCs/>
    </w:rPr>
  </w:style>
  <w:style w:type="paragraph" w:styleId="Revision">
    <w:name w:val="Revision"/>
    <w:hidden/>
    <w:uiPriority w:val="99"/>
    <w:semiHidden/>
    <w:rsid w:val="00C179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3000</Characters>
  <Application>Microsoft Office Word</Application>
  <DocSecurity>4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HB00770 (Committee Report (Unamended))</vt:lpstr>
    </vt:vector>
  </TitlesOfParts>
  <Company>State of Texas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18414</dc:subject>
  <dc:creator>State of Texas</dc:creator>
  <dc:description>HB 770 by Wu-(H)Licensing &amp; Administrative Procedures</dc:description>
  <cp:lastModifiedBy>Stacey Nicchio</cp:lastModifiedBy>
  <cp:revision>2</cp:revision>
  <cp:lastPrinted>2003-11-26T17:21:00Z</cp:lastPrinted>
  <dcterms:created xsi:type="dcterms:W3CDTF">2021-04-06T19:58:00Z</dcterms:created>
  <dcterms:modified xsi:type="dcterms:W3CDTF">2021-04-06T19:58:00Z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21.91.1553</vt:lpwstr>
  </property>
</Properties>
</file>