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B3F1F" w14:paraId="6DADACAC" w14:textId="77777777" w:rsidTr="00345119">
        <w:tc>
          <w:tcPr>
            <w:tcW w:w="9576" w:type="dxa"/>
            <w:noWrap/>
          </w:tcPr>
          <w:p w14:paraId="5F12C21D" w14:textId="77777777" w:rsidR="008423E4" w:rsidRPr="0022177D" w:rsidRDefault="00C14F93" w:rsidP="002C23D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C63008" w14:textId="77777777" w:rsidR="008423E4" w:rsidRPr="0022177D" w:rsidRDefault="008423E4" w:rsidP="002C23D6">
      <w:pPr>
        <w:jc w:val="center"/>
      </w:pPr>
    </w:p>
    <w:p w14:paraId="602D6BF6" w14:textId="77777777" w:rsidR="008423E4" w:rsidRPr="00B31F0E" w:rsidRDefault="008423E4" w:rsidP="002C23D6"/>
    <w:p w14:paraId="49939A07" w14:textId="77777777" w:rsidR="008423E4" w:rsidRPr="00742794" w:rsidRDefault="008423E4" w:rsidP="002C23D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3F1F" w14:paraId="232CB5EA" w14:textId="77777777" w:rsidTr="00345119">
        <w:tc>
          <w:tcPr>
            <w:tcW w:w="9576" w:type="dxa"/>
          </w:tcPr>
          <w:p w14:paraId="3E88DA55" w14:textId="32AA3511" w:rsidR="008423E4" w:rsidRPr="00861995" w:rsidRDefault="00C14F93" w:rsidP="002C23D6">
            <w:pPr>
              <w:jc w:val="right"/>
            </w:pPr>
            <w:r>
              <w:t>C.S.H.B. 872</w:t>
            </w:r>
          </w:p>
        </w:tc>
      </w:tr>
      <w:tr w:rsidR="001B3F1F" w14:paraId="3E6C2AC9" w14:textId="77777777" w:rsidTr="00345119">
        <w:tc>
          <w:tcPr>
            <w:tcW w:w="9576" w:type="dxa"/>
          </w:tcPr>
          <w:p w14:paraId="054B8CFB" w14:textId="20B3B6F4" w:rsidR="008423E4" w:rsidRPr="00861995" w:rsidRDefault="00C14F93" w:rsidP="002C23D6">
            <w:pPr>
              <w:jc w:val="right"/>
            </w:pPr>
            <w:r>
              <w:t xml:space="preserve">By: </w:t>
            </w:r>
            <w:r w:rsidR="001F02DE">
              <w:t>Bernal</w:t>
            </w:r>
          </w:p>
        </w:tc>
      </w:tr>
      <w:tr w:rsidR="001B3F1F" w14:paraId="0FF30B4D" w14:textId="77777777" w:rsidTr="00345119">
        <w:tc>
          <w:tcPr>
            <w:tcW w:w="9576" w:type="dxa"/>
          </w:tcPr>
          <w:p w14:paraId="56B2444C" w14:textId="50EBC96B" w:rsidR="008423E4" w:rsidRPr="00861995" w:rsidRDefault="00C14F93" w:rsidP="002C23D6">
            <w:pPr>
              <w:jc w:val="right"/>
            </w:pPr>
            <w:r>
              <w:t>State Affairs</w:t>
            </w:r>
          </w:p>
        </w:tc>
      </w:tr>
      <w:tr w:rsidR="001B3F1F" w14:paraId="3887BB72" w14:textId="77777777" w:rsidTr="00345119">
        <w:tc>
          <w:tcPr>
            <w:tcW w:w="9576" w:type="dxa"/>
          </w:tcPr>
          <w:p w14:paraId="7A054DD4" w14:textId="493DAAE4" w:rsidR="008423E4" w:rsidRDefault="00C14F93" w:rsidP="002C23D6">
            <w:pPr>
              <w:jc w:val="right"/>
            </w:pPr>
            <w:r>
              <w:t>Committee Report (Substituted)</w:t>
            </w:r>
          </w:p>
        </w:tc>
      </w:tr>
    </w:tbl>
    <w:p w14:paraId="4A2EE0F3" w14:textId="77777777" w:rsidR="008423E4" w:rsidRDefault="008423E4" w:rsidP="002C23D6">
      <w:pPr>
        <w:tabs>
          <w:tab w:val="right" w:pos="9360"/>
        </w:tabs>
      </w:pPr>
    </w:p>
    <w:p w14:paraId="0378B0A2" w14:textId="77777777" w:rsidR="008423E4" w:rsidRDefault="008423E4" w:rsidP="002C23D6"/>
    <w:p w14:paraId="481CEEF9" w14:textId="77777777" w:rsidR="008423E4" w:rsidRDefault="008423E4" w:rsidP="002C23D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B3F1F" w14:paraId="7E1888B5" w14:textId="77777777" w:rsidTr="00345119">
        <w:tc>
          <w:tcPr>
            <w:tcW w:w="9576" w:type="dxa"/>
          </w:tcPr>
          <w:p w14:paraId="1908A22C" w14:textId="77777777" w:rsidR="008423E4" w:rsidRPr="00A8133F" w:rsidRDefault="00C14F93" w:rsidP="002C23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42320B" w14:textId="77777777" w:rsidR="008423E4" w:rsidRDefault="008423E4" w:rsidP="002C23D6"/>
          <w:p w14:paraId="3586DBD0" w14:textId="46695AB5" w:rsidR="008423E4" w:rsidRDefault="00C14F93" w:rsidP="002C23D6">
            <w:pPr>
              <w:pStyle w:val="Header"/>
              <w:jc w:val="both"/>
            </w:pPr>
            <w:r>
              <w:t>Government-operated</w:t>
            </w:r>
            <w:r w:rsidR="00AE189A">
              <w:t xml:space="preserve"> utilities are subject to </w:t>
            </w:r>
            <w:r w:rsidR="007E4E1F">
              <w:t>state public information law</w:t>
            </w:r>
            <w:r w:rsidR="00AE189A">
              <w:t xml:space="preserve"> and therefore, by law, must </w:t>
            </w:r>
            <w:r w:rsidR="0067570C">
              <w:t>respond</w:t>
            </w:r>
            <w:r w:rsidR="007E4E1F">
              <w:t xml:space="preserve"> to public information requests for certain information the utility maintains</w:t>
            </w:r>
            <w:r w:rsidR="00AE189A">
              <w:t xml:space="preserve">. </w:t>
            </w:r>
            <w:r w:rsidR="007E4E1F">
              <w:t>U</w:t>
            </w:r>
            <w:r w:rsidR="00AE189A">
              <w:t xml:space="preserve">tilities often receive requests seeking information </w:t>
            </w:r>
            <w:r w:rsidR="007E4E1F">
              <w:t>r</w:t>
            </w:r>
            <w:r w:rsidR="007E4E1F" w:rsidRPr="0067570C">
              <w:t xml:space="preserve">elating to </w:t>
            </w:r>
            <w:r w:rsidR="007E4E1F">
              <w:t xml:space="preserve">customers </w:t>
            </w:r>
            <w:r w:rsidR="00633A18">
              <w:t xml:space="preserve">who </w:t>
            </w:r>
            <w:r w:rsidR="007E4E1F">
              <w:t>are</w:t>
            </w:r>
            <w:r w:rsidR="00AE189A">
              <w:t xml:space="preserve"> eligible for service disconnection. This information is used as a marketing tool for real estate speculators who seek to purchase, often at a substantial discount, the properties of financially struggling homeowners. Additionally, with the </w:t>
            </w:r>
            <w:r w:rsidR="007E4E1F">
              <w:t xml:space="preserve">deployment </w:t>
            </w:r>
            <w:r w:rsidR="00AE189A">
              <w:t xml:space="preserve">of </w:t>
            </w:r>
            <w:r w:rsidR="007E4E1F">
              <w:t>a</w:t>
            </w:r>
            <w:r w:rsidR="00AE189A">
              <w:t xml:space="preserve">dvanced </w:t>
            </w:r>
            <w:r w:rsidR="007E4E1F">
              <w:t>m</w:t>
            </w:r>
            <w:r w:rsidR="00AE189A">
              <w:t>eter</w:t>
            </w:r>
            <w:r w:rsidR="007E4E1F">
              <w:t>ing systems</w:t>
            </w:r>
            <w:r w:rsidR="00AE189A">
              <w:t xml:space="preserve">, </w:t>
            </w:r>
            <w:r w:rsidR="007E4E1F">
              <w:t>utilities are now generating a large amount</w:t>
            </w:r>
            <w:r w:rsidR="00AE189A">
              <w:t xml:space="preserve"> of data </w:t>
            </w:r>
            <w:r w:rsidR="003240F5">
              <w:t>containing</w:t>
            </w:r>
            <w:r w:rsidR="00AE189A">
              <w:t xml:space="preserve"> detailed and sensitive customer consumption information</w:t>
            </w:r>
            <w:r w:rsidR="007E4E1F">
              <w:t xml:space="preserve"> that, under current</w:t>
            </w:r>
            <w:r w:rsidR="00AE189A">
              <w:t xml:space="preserve"> law</w:t>
            </w:r>
            <w:r w:rsidR="007E4E1F">
              <w:t>,</w:t>
            </w:r>
            <w:r w:rsidR="00AE189A">
              <w:t xml:space="preserve"> </w:t>
            </w:r>
            <w:r w:rsidR="007E4E1F">
              <w:t>could also be obtained through a public information request</w:t>
            </w:r>
            <w:r w:rsidR="00AE189A">
              <w:t xml:space="preserve">. </w:t>
            </w:r>
            <w:r w:rsidR="007E4E1F">
              <w:t>C.S.H.B. 872</w:t>
            </w:r>
            <w:r w:rsidR="00AE189A" w:rsidRPr="00AE189A">
              <w:t xml:space="preserve"> seeks to protect </w:t>
            </w:r>
            <w:r w:rsidR="007E4E1F">
              <w:t xml:space="preserve">the privacy of </w:t>
            </w:r>
            <w:r w:rsidR="003240F5">
              <w:t>utility customer</w:t>
            </w:r>
            <w:r w:rsidR="007E4E1F">
              <w:t>s</w:t>
            </w:r>
            <w:r w:rsidR="007E4E1F" w:rsidRPr="00AE189A">
              <w:t xml:space="preserve"> </w:t>
            </w:r>
            <w:r w:rsidR="007E4E1F">
              <w:t xml:space="preserve">by </w:t>
            </w:r>
            <w:r w:rsidR="00F2092C">
              <w:t>except</w:t>
            </w:r>
            <w:r w:rsidR="00866E09">
              <w:t>ing</w:t>
            </w:r>
            <w:r w:rsidR="007E4E1F">
              <w:t xml:space="preserve"> </w:t>
            </w:r>
            <w:r w:rsidR="00F2092C">
              <w:t>certain potentially sensitive information maintained by a government-o</w:t>
            </w:r>
            <w:r w:rsidR="003240F5">
              <w:t>perated</w:t>
            </w:r>
            <w:r w:rsidR="00F2092C">
              <w:t xml:space="preserve"> utility from the public availability requirement of state public information law</w:t>
            </w:r>
            <w:r w:rsidR="00AE189A">
              <w:t>.</w:t>
            </w:r>
          </w:p>
          <w:p w14:paraId="11AB924F" w14:textId="77777777" w:rsidR="008423E4" w:rsidRPr="00E26B13" w:rsidRDefault="008423E4" w:rsidP="002C23D6">
            <w:pPr>
              <w:rPr>
                <w:b/>
              </w:rPr>
            </w:pPr>
          </w:p>
        </w:tc>
      </w:tr>
      <w:tr w:rsidR="001B3F1F" w14:paraId="08B29930" w14:textId="77777777" w:rsidTr="00345119">
        <w:tc>
          <w:tcPr>
            <w:tcW w:w="9576" w:type="dxa"/>
          </w:tcPr>
          <w:p w14:paraId="0E4187CF" w14:textId="77777777" w:rsidR="0017725B" w:rsidRDefault="00C14F93" w:rsidP="002C23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03D403" w14:textId="77777777" w:rsidR="0017725B" w:rsidRDefault="0017725B" w:rsidP="002C23D6">
            <w:pPr>
              <w:rPr>
                <w:b/>
                <w:u w:val="single"/>
              </w:rPr>
            </w:pPr>
          </w:p>
          <w:p w14:paraId="44E93954" w14:textId="77777777" w:rsidR="00BD63A6" w:rsidRPr="00BD63A6" w:rsidRDefault="00C14F93" w:rsidP="002C23D6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14:paraId="424914DF" w14:textId="77777777" w:rsidR="0017725B" w:rsidRPr="0017725B" w:rsidRDefault="0017725B" w:rsidP="002C23D6">
            <w:pPr>
              <w:rPr>
                <w:b/>
                <w:u w:val="single"/>
              </w:rPr>
            </w:pPr>
          </w:p>
        </w:tc>
      </w:tr>
      <w:tr w:rsidR="001B3F1F" w14:paraId="0C65B86F" w14:textId="77777777" w:rsidTr="00345119">
        <w:tc>
          <w:tcPr>
            <w:tcW w:w="9576" w:type="dxa"/>
          </w:tcPr>
          <w:p w14:paraId="46AB88AD" w14:textId="77777777" w:rsidR="008423E4" w:rsidRPr="00A8133F" w:rsidRDefault="00C14F93" w:rsidP="002C23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DA71E34" w14:textId="77777777" w:rsidR="008423E4" w:rsidRDefault="008423E4" w:rsidP="002C23D6"/>
          <w:p w14:paraId="4F3E840F" w14:textId="77777777" w:rsidR="00BD63A6" w:rsidRDefault="00C14F93" w:rsidP="002C23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14:paraId="2C5D251E" w14:textId="77777777" w:rsidR="008423E4" w:rsidRPr="00E21FDC" w:rsidRDefault="008423E4" w:rsidP="002C23D6">
            <w:pPr>
              <w:rPr>
                <w:b/>
              </w:rPr>
            </w:pPr>
          </w:p>
        </w:tc>
      </w:tr>
      <w:tr w:rsidR="001B3F1F" w14:paraId="0CCCCADC" w14:textId="77777777" w:rsidTr="00345119">
        <w:tc>
          <w:tcPr>
            <w:tcW w:w="9576" w:type="dxa"/>
          </w:tcPr>
          <w:p w14:paraId="753DF3BF" w14:textId="77777777" w:rsidR="007D0031" w:rsidRDefault="00C14F93" w:rsidP="002C23D6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14:paraId="35612735" w14:textId="4310C40D" w:rsidR="008423E4" w:rsidRPr="00B913F3" w:rsidRDefault="00C14F93" w:rsidP="002C23D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2B07574" w14:textId="3CEA8E4F" w:rsidR="00617E7D" w:rsidRDefault="00C14F93" w:rsidP="002C23D6">
            <w:pPr>
              <w:pStyle w:val="Header"/>
              <w:jc w:val="both"/>
            </w:pPr>
            <w:r>
              <w:t xml:space="preserve">C.S.H.B. 872 </w:t>
            </w:r>
            <w:r w:rsidR="0041650E">
              <w:t>amends the Government Code</w:t>
            </w:r>
            <w:r w:rsidR="00A232B4">
              <w:t xml:space="preserve"> to </w:t>
            </w:r>
            <w:r w:rsidR="0041650E">
              <w:t>except</w:t>
            </w:r>
            <w:r w:rsidR="00296DE1">
              <w:t xml:space="preserve"> the following </w:t>
            </w:r>
            <w:r>
              <w:t>information</w:t>
            </w:r>
            <w:r w:rsidR="008D55B5">
              <w:t xml:space="preserve"> </w:t>
            </w:r>
            <w:r w:rsidR="008D55B5" w:rsidRPr="008D55B5">
              <w:t xml:space="preserve">maintained by a </w:t>
            </w:r>
            <w:r w:rsidR="00FF6840">
              <w:t xml:space="preserve">government-operated </w:t>
            </w:r>
            <w:r w:rsidR="008D55B5" w:rsidRPr="008D55B5">
              <w:t xml:space="preserve">utility </w:t>
            </w:r>
            <w:r w:rsidR="00FF6840">
              <w:t xml:space="preserve">that provides </w:t>
            </w:r>
            <w:r w:rsidR="00FF6840" w:rsidRPr="00FF6840">
              <w:t>water, wastewater, sewer, gas, garbage, electricity, or drainage service</w:t>
            </w:r>
            <w:r w:rsidR="00FF6840">
              <w:t xml:space="preserve"> </w:t>
            </w:r>
            <w:r w:rsidRPr="00617E7D">
              <w:t xml:space="preserve">from </w:t>
            </w:r>
            <w:r w:rsidR="0041650E">
              <w:t>the public availability requirement of</w:t>
            </w:r>
            <w:r w:rsidRPr="00617E7D">
              <w:t xml:space="preserve"> state public information law</w:t>
            </w:r>
            <w:r>
              <w:t>:</w:t>
            </w:r>
          </w:p>
          <w:p w14:paraId="0696B6D7" w14:textId="395F2F48" w:rsidR="00A6480F" w:rsidRDefault="00C14F93" w:rsidP="002C23D6">
            <w:pPr>
              <w:pStyle w:val="Header"/>
              <w:numPr>
                <w:ilvl w:val="0"/>
                <w:numId w:val="2"/>
              </w:numPr>
              <w:jc w:val="both"/>
            </w:pPr>
            <w:r w:rsidRPr="00617E7D">
              <w:t xml:space="preserve">information that </w:t>
            </w:r>
            <w:r w:rsidR="00FF51E1">
              <w:t xml:space="preserve">reveals whether an account is delinquent or eligible for disconnection or </w:t>
            </w:r>
            <w:r w:rsidR="0041650E">
              <w:t>whether</w:t>
            </w:r>
            <w:r w:rsidR="00FF51E1">
              <w:t xml:space="preserve"> services have been discontinued by the utility; </w:t>
            </w:r>
            <w:r w:rsidR="0041650E">
              <w:t>and</w:t>
            </w:r>
          </w:p>
          <w:p w14:paraId="5EF10575" w14:textId="07C22ED5" w:rsidR="00617E7D" w:rsidRDefault="00C14F93" w:rsidP="002C23D6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information that is </w:t>
            </w:r>
            <w:r w:rsidRPr="00617E7D">
              <w:t>collected as part of an advanced metering system for usage, services, and billing</w:t>
            </w:r>
            <w:r w:rsidR="00931D33">
              <w:t xml:space="preserve">, </w:t>
            </w:r>
            <w:r w:rsidR="00931D33" w:rsidRPr="00931D33">
              <w:t>including amounts billed or collected for utility usage</w:t>
            </w:r>
            <w:r w:rsidR="00A232B4">
              <w:t>.</w:t>
            </w:r>
          </w:p>
          <w:p w14:paraId="6A862438" w14:textId="70DF256A" w:rsidR="00517AE7" w:rsidRDefault="00C14F93" w:rsidP="002C23D6">
            <w:pPr>
              <w:jc w:val="both"/>
            </w:pPr>
            <w:r>
              <w:t xml:space="preserve">The bill requires a utility to </w:t>
            </w:r>
            <w:r w:rsidR="00296DE1" w:rsidRPr="00296DE1">
              <w:t>disclos</w:t>
            </w:r>
            <w:r w:rsidR="00332D8B">
              <w:t>e</w:t>
            </w:r>
            <w:r w:rsidR="00296DE1" w:rsidRPr="00296DE1">
              <w:t xml:space="preserve"> </w:t>
            </w:r>
            <w:r w:rsidRPr="00363D50">
              <w:t>tha</w:t>
            </w:r>
            <w:r w:rsidRPr="00363D50">
              <w:t>t information</w:t>
            </w:r>
            <w:r>
              <w:t xml:space="preserve"> </w:t>
            </w:r>
            <w:r w:rsidR="00332D8B">
              <w:t xml:space="preserve">collected as part of an advanced metering system </w:t>
            </w:r>
            <w:r>
              <w:t>to the customer or the customer's designated representative on written request if the information directly relates to utility services provided to the customer and is not confidential under law</w:t>
            </w:r>
            <w:r>
              <w:t>.</w:t>
            </w:r>
            <w:r w:rsidR="00EC02B9">
              <w:t xml:space="preserve"> </w:t>
            </w:r>
          </w:p>
          <w:p w14:paraId="7171EC50" w14:textId="77777777" w:rsidR="00517AE7" w:rsidRDefault="00517AE7" w:rsidP="002C23D6">
            <w:pPr>
              <w:jc w:val="both"/>
            </w:pPr>
          </w:p>
          <w:p w14:paraId="29208A63" w14:textId="1DD6057D" w:rsidR="001B262C" w:rsidRDefault="00C14F93" w:rsidP="002C23D6">
            <w:pPr>
              <w:jc w:val="both"/>
            </w:pPr>
            <w:r>
              <w:t xml:space="preserve">C.S.H.B. 872 amends the Utilities Code to </w:t>
            </w:r>
            <w:r w:rsidRPr="00CB0F5F">
              <w:t>change the nature of the confidentiality protections provided for the personal information in the account record of a customer of a government</w:t>
            </w:r>
            <w:r w:rsidR="002C23D6">
              <w:noBreakHyphen/>
            </w:r>
            <w:r w:rsidRPr="00CB0F5F">
              <w:t>operated utility</w:t>
            </w:r>
            <w:r w:rsidR="00CB0F5F">
              <w:t>,</w:t>
            </w:r>
            <w:r w:rsidRPr="00CB0F5F">
              <w:t xml:space="preserve"> and any information relating to the volume or uni</w:t>
            </w:r>
            <w:r w:rsidRPr="00CB0F5F">
              <w:t>ts of utility usage or the amounts billed to or collected from the customer for utility usage</w:t>
            </w:r>
            <w:r w:rsidR="00CB0F5F">
              <w:t>,</w:t>
            </w:r>
            <w:r>
              <w:t xml:space="preserve"> from a system under which the onus is on the customer to request confidentiality to a system under which the default assumption is </w:t>
            </w:r>
            <w:r w:rsidR="008268FA">
              <w:t>confidentiality unless the customer requests disclosure. Additionally, the bill does the following with respect to the disclosure of this information:</w:t>
            </w:r>
          </w:p>
          <w:p w14:paraId="3105039B" w14:textId="3C8D5613" w:rsidR="001C632D" w:rsidRDefault="00C14F93" w:rsidP="002C23D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revises the information that a utility may</w:t>
            </w:r>
            <w:r w:rsidR="008268FA">
              <w:t xml:space="preserve"> disclos</w:t>
            </w:r>
            <w:r w:rsidR="006C0452">
              <w:t>e</w:t>
            </w:r>
            <w:r w:rsidR="008268FA">
              <w:t xml:space="preserve">, without the customer's consent, </w:t>
            </w:r>
            <w:r w:rsidR="00512CF0">
              <w:t>if the primary source of water for the utility was a sole-source designated aquifer</w:t>
            </w:r>
            <w:r>
              <w:t xml:space="preserve"> as follows:</w:t>
            </w:r>
          </w:p>
          <w:p w14:paraId="1785C7B2" w14:textId="7BA253BF" w:rsidR="008268FA" w:rsidRDefault="00C14F93" w:rsidP="002C23D6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removes the authorization to disclose information related to the amounts billed to or collected from the customer for utility usage; and</w:t>
            </w:r>
          </w:p>
          <w:p w14:paraId="1D53B901" w14:textId="269597DB" w:rsidR="008268FA" w:rsidRDefault="00C14F93" w:rsidP="002C23D6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 xml:space="preserve">specifies that the information </w:t>
            </w:r>
            <w:r w:rsidR="00CB0F5F">
              <w:t xml:space="preserve">that </w:t>
            </w:r>
            <w:r w:rsidR="001C632D">
              <w:t>may be disclosed</w:t>
            </w:r>
            <w:r w:rsidR="006C0452">
              <w:t xml:space="preserve"> </w:t>
            </w:r>
            <w:r>
              <w:t>relat</w:t>
            </w:r>
            <w:r w:rsidR="00CB0F5F">
              <w:t>ing</w:t>
            </w:r>
            <w:r>
              <w:t xml:space="preserve"> to the cust</w:t>
            </w:r>
            <w:r>
              <w:t>omer's volume or units of utility usage is the</w:t>
            </w:r>
            <w:r w:rsidR="00AD0AEE">
              <w:t xml:space="preserve"> </w:t>
            </w:r>
            <w:r>
              <w:t>usage per billing cycle;</w:t>
            </w:r>
          </w:p>
          <w:p w14:paraId="7405F780" w14:textId="2C65F7D1" w:rsidR="006053E5" w:rsidRDefault="00C14F93" w:rsidP="002C23D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gives a utility the option to post a notice of </w:t>
            </w:r>
            <w:r w:rsidRPr="001C632D">
              <w:t>the customer's</w:t>
            </w:r>
            <w:r>
              <w:t xml:space="preserve"> right to request disclosure and a form by which that request may be made on its website as an alternative to including the notice and the form with each customer's bill;</w:t>
            </w:r>
          </w:p>
          <w:p w14:paraId="480E7D1D" w14:textId="29B7FC2A" w:rsidR="006053E5" w:rsidRDefault="00C14F93" w:rsidP="002C23D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provid</w:t>
            </w:r>
            <w:r w:rsidR="006C0452">
              <w:t>es</w:t>
            </w:r>
            <w:r>
              <w:t xml:space="preserve"> that the </w:t>
            </w:r>
            <w:r w:rsidR="001C632D">
              <w:t xml:space="preserve">disclosure </w:t>
            </w:r>
            <w:r>
              <w:t xml:space="preserve">request form may be returned by mail or electronically; </w:t>
            </w:r>
            <w:r>
              <w:t>and</w:t>
            </w:r>
          </w:p>
          <w:p w14:paraId="768219DE" w14:textId="1251ABC8" w:rsidR="006053E5" w:rsidRDefault="00C14F93" w:rsidP="002C23D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authoriz</w:t>
            </w:r>
            <w:r w:rsidR="000A3191">
              <w:t>es</w:t>
            </w:r>
            <w:r>
              <w:t xml:space="preserve"> a customer to rescind a request for disclosure b</w:t>
            </w:r>
            <w:r w:rsidR="006C0452">
              <w:t>y</w:t>
            </w:r>
            <w:r>
              <w:t xml:space="preserve"> providing the utility a written request to withhold the customer's personal information beginning on the date the utility receives the request.</w:t>
            </w:r>
          </w:p>
          <w:p w14:paraId="73CE3947" w14:textId="77777777" w:rsidR="00DE4A12" w:rsidRDefault="00DE4A12" w:rsidP="002C23D6">
            <w:pPr>
              <w:jc w:val="both"/>
            </w:pPr>
          </w:p>
          <w:p w14:paraId="0FD8E018" w14:textId="00F63469" w:rsidR="009D24E9" w:rsidRDefault="00C14F93" w:rsidP="002C23D6">
            <w:r>
              <w:t xml:space="preserve">C.S.H.B. 872 amends the Water Code to </w:t>
            </w:r>
            <w:r w:rsidR="00AE189A">
              <w:t xml:space="preserve">make conforming changes. </w:t>
            </w:r>
            <w:r w:rsidR="00DE4A12">
              <w:t xml:space="preserve"> </w:t>
            </w:r>
          </w:p>
          <w:p w14:paraId="1DF5566D" w14:textId="77777777" w:rsidR="00DE4A12" w:rsidRDefault="00DE4A12" w:rsidP="002C23D6"/>
          <w:p w14:paraId="3281A3D4" w14:textId="77777777" w:rsidR="009D24E9" w:rsidRDefault="00C14F93" w:rsidP="002C23D6">
            <w:r>
              <w:t xml:space="preserve">C.S.H.B. 872 repeals </w:t>
            </w:r>
            <w:r w:rsidRPr="009D24E9">
              <w:t>Section 182.053, Utilities Code</w:t>
            </w:r>
            <w:r>
              <w:t>.</w:t>
            </w:r>
          </w:p>
          <w:p w14:paraId="0E19BF4E" w14:textId="143AE576" w:rsidR="002B2784" w:rsidRPr="00A66066" w:rsidRDefault="002B2784" w:rsidP="002C23D6"/>
        </w:tc>
      </w:tr>
      <w:tr w:rsidR="001B3F1F" w14:paraId="4FE2E084" w14:textId="77777777" w:rsidTr="00345119">
        <w:tc>
          <w:tcPr>
            <w:tcW w:w="9576" w:type="dxa"/>
          </w:tcPr>
          <w:p w14:paraId="278F2441" w14:textId="77777777" w:rsidR="008423E4" w:rsidRPr="00A8133F" w:rsidRDefault="00C14F93" w:rsidP="002C23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96E8C48" w14:textId="77777777" w:rsidR="008423E4" w:rsidRDefault="008423E4" w:rsidP="002C23D6"/>
          <w:p w14:paraId="6108889C" w14:textId="77777777" w:rsidR="008423E4" w:rsidRPr="003624F2" w:rsidRDefault="00C14F93" w:rsidP="002C23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F6DBC70" w14:textId="77777777" w:rsidR="008423E4" w:rsidRPr="00233FDB" w:rsidRDefault="008423E4" w:rsidP="002C23D6">
            <w:pPr>
              <w:rPr>
                <w:b/>
              </w:rPr>
            </w:pPr>
          </w:p>
        </w:tc>
      </w:tr>
      <w:tr w:rsidR="001B3F1F" w14:paraId="51DA5316" w14:textId="77777777" w:rsidTr="00345119">
        <w:tc>
          <w:tcPr>
            <w:tcW w:w="9576" w:type="dxa"/>
          </w:tcPr>
          <w:p w14:paraId="1106298F" w14:textId="77777777" w:rsidR="001F02DE" w:rsidRDefault="00C14F93" w:rsidP="002C23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A710C14" w14:textId="77777777" w:rsidR="00AE189A" w:rsidRDefault="00AE189A" w:rsidP="002C23D6">
            <w:pPr>
              <w:jc w:val="both"/>
            </w:pPr>
          </w:p>
          <w:p w14:paraId="4A1F5685" w14:textId="2E8C9182" w:rsidR="00AE189A" w:rsidRDefault="00C14F93" w:rsidP="002C23D6">
            <w:pPr>
              <w:jc w:val="both"/>
            </w:pPr>
            <w:r>
              <w:t>While C.S.H.B. 872 may differ from the</w:t>
            </w:r>
            <w:r>
              <w:t xml:space="preserve"> original in minor or nonsubstantive ways, the following summarizes the substantial differences between the introduced and committee substitute versions of the bill.</w:t>
            </w:r>
          </w:p>
          <w:p w14:paraId="61B6FEC4" w14:textId="1D553FF6" w:rsidR="00AE189A" w:rsidRDefault="00AE189A" w:rsidP="002C23D6">
            <w:pPr>
              <w:jc w:val="both"/>
            </w:pPr>
          </w:p>
          <w:p w14:paraId="3B1AA32F" w14:textId="4A6C3EBA" w:rsidR="00FF6840" w:rsidRDefault="00C14F93" w:rsidP="002C23D6">
            <w:pPr>
              <w:jc w:val="both"/>
            </w:pPr>
            <w:r>
              <w:t xml:space="preserve">With respect to the bill's provisions establishing an exception </w:t>
            </w:r>
            <w:r w:rsidR="0067570C">
              <w:t xml:space="preserve">from the public availability requirement of state public information law </w:t>
            </w:r>
            <w:r>
              <w:t>for certain information maintained by a government</w:t>
            </w:r>
            <w:r w:rsidR="002C23D6">
              <w:noBreakHyphen/>
            </w:r>
            <w:r>
              <w:t>operated utility, t</w:t>
            </w:r>
            <w:r w:rsidR="006053E5">
              <w:t>he substitute</w:t>
            </w:r>
            <w:r w:rsidR="00332D8B">
              <w:t xml:space="preserve"> </w:t>
            </w:r>
            <w:r>
              <w:t>does the following:</w:t>
            </w:r>
          </w:p>
          <w:p w14:paraId="752282C6" w14:textId="23400920" w:rsidR="00FF6840" w:rsidRDefault="00C14F93" w:rsidP="002C23D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includes information that reveals whether a customer's account is delinquent among the </w:t>
            </w:r>
            <w:r w:rsidR="00043E02">
              <w:t xml:space="preserve">excepted </w:t>
            </w:r>
            <w:r>
              <w:t>informat</w:t>
            </w:r>
            <w:r>
              <w:t>ion;</w:t>
            </w:r>
          </w:p>
          <w:p w14:paraId="7D12266B" w14:textId="56F9925B" w:rsidR="00FF6840" w:rsidRDefault="00C14F93" w:rsidP="002C23D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requires </w:t>
            </w:r>
            <w:r w:rsidR="00D85ACE">
              <w:t>a</w:t>
            </w:r>
            <w:r>
              <w:t xml:space="preserve"> request for disclosure of information collected as part of an advanced metering system to be made in writing</w:t>
            </w:r>
            <w:r w:rsidR="00081822">
              <w:t xml:space="preserve"> and </w:t>
            </w:r>
            <w:r>
              <w:t xml:space="preserve">specifies that </w:t>
            </w:r>
            <w:r w:rsidRPr="00081822">
              <w:t>the requested information</w:t>
            </w:r>
            <w:r>
              <w:t xml:space="preserve"> may be disclosed only if </w:t>
            </w:r>
            <w:r w:rsidR="006F0C3A">
              <w:t>it</w:t>
            </w:r>
            <w:r>
              <w:t xml:space="preserve"> relates to utility services provided to the requesting customer and is not confidential under law;</w:t>
            </w:r>
          </w:p>
          <w:p w14:paraId="31A7EBC1" w14:textId="34A2DCB0" w:rsidR="00A6280C" w:rsidRDefault="00C14F93" w:rsidP="002C23D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642870">
              <w:t>does not include</w:t>
            </w:r>
            <w:r>
              <w:t xml:space="preserve"> provisions regarding the relation between </w:t>
            </w:r>
            <w:r w:rsidR="00FF6840">
              <w:t>th</w:t>
            </w:r>
            <w:r w:rsidR="00642870">
              <w:t>e bill's</w:t>
            </w:r>
            <w:r>
              <w:t xml:space="preserve"> exception </w:t>
            </w:r>
            <w:r w:rsidR="00FF6840">
              <w:t>and</w:t>
            </w:r>
            <w:r w:rsidR="006B7D21">
              <w:t xml:space="preserve"> an existing exception for confidential information</w:t>
            </w:r>
            <w:r w:rsidR="00FF6840">
              <w:t>; and</w:t>
            </w:r>
          </w:p>
          <w:p w14:paraId="63BD3642" w14:textId="1721DB4F" w:rsidR="00FF6840" w:rsidRPr="002B2784" w:rsidRDefault="00C14F93" w:rsidP="002C23D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clarifies</w:t>
            </w:r>
            <w:r>
              <w:t xml:space="preserve"> that the provisions apply only to a public information request received on or after the bill's effective date</w:t>
            </w:r>
            <w:r w:rsidRPr="002B2784">
              <w:t>.</w:t>
            </w:r>
          </w:p>
          <w:p w14:paraId="42393AD6" w14:textId="77777777" w:rsidR="006053E5" w:rsidRDefault="006053E5" w:rsidP="002C23D6">
            <w:pPr>
              <w:jc w:val="both"/>
            </w:pPr>
          </w:p>
          <w:p w14:paraId="452E2C09" w14:textId="4C311C92" w:rsidR="00A6280C" w:rsidRDefault="00C14F93" w:rsidP="002C23D6">
            <w:pPr>
              <w:jc w:val="both"/>
            </w:pPr>
            <w:r w:rsidRPr="00AD0AEE">
              <w:t>The substitute amends the Water Code to make conforming changes</w:t>
            </w:r>
            <w:r>
              <w:t xml:space="preserve">. </w:t>
            </w:r>
          </w:p>
          <w:p w14:paraId="1633874D" w14:textId="4CE121E1" w:rsidR="00AE189A" w:rsidRPr="00AE189A" w:rsidRDefault="00AE189A" w:rsidP="002C23D6">
            <w:pPr>
              <w:jc w:val="both"/>
            </w:pPr>
          </w:p>
        </w:tc>
      </w:tr>
      <w:tr w:rsidR="001B3F1F" w14:paraId="346586EC" w14:textId="77777777" w:rsidTr="00345119">
        <w:tc>
          <w:tcPr>
            <w:tcW w:w="9576" w:type="dxa"/>
          </w:tcPr>
          <w:p w14:paraId="12432169" w14:textId="77777777" w:rsidR="001F02DE" w:rsidRPr="009C1E9A" w:rsidRDefault="001F02DE" w:rsidP="002C23D6">
            <w:pPr>
              <w:rPr>
                <w:b/>
                <w:u w:val="single"/>
              </w:rPr>
            </w:pPr>
          </w:p>
        </w:tc>
      </w:tr>
      <w:tr w:rsidR="001B3F1F" w14:paraId="76C1A1B0" w14:textId="77777777" w:rsidTr="00345119">
        <w:tc>
          <w:tcPr>
            <w:tcW w:w="9576" w:type="dxa"/>
          </w:tcPr>
          <w:p w14:paraId="0726CE36" w14:textId="77777777" w:rsidR="001F02DE" w:rsidRPr="001F02DE" w:rsidRDefault="001F02DE" w:rsidP="002C23D6">
            <w:pPr>
              <w:jc w:val="both"/>
            </w:pPr>
          </w:p>
        </w:tc>
      </w:tr>
    </w:tbl>
    <w:p w14:paraId="4DCBFAE6" w14:textId="77777777" w:rsidR="008423E4" w:rsidRPr="00BE0E75" w:rsidRDefault="008423E4" w:rsidP="002C23D6">
      <w:pPr>
        <w:jc w:val="both"/>
        <w:rPr>
          <w:rFonts w:ascii="Arial" w:hAnsi="Arial"/>
          <w:sz w:val="16"/>
          <w:szCs w:val="16"/>
        </w:rPr>
      </w:pPr>
    </w:p>
    <w:p w14:paraId="25652651" w14:textId="77777777" w:rsidR="004108C3" w:rsidRPr="008423E4" w:rsidRDefault="004108C3" w:rsidP="002C23D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823F" w14:textId="77777777" w:rsidR="00000000" w:rsidRDefault="00C14F93">
      <w:r>
        <w:separator/>
      </w:r>
    </w:p>
  </w:endnote>
  <w:endnote w:type="continuationSeparator" w:id="0">
    <w:p w14:paraId="757A5E44" w14:textId="77777777" w:rsidR="00000000" w:rsidRDefault="00C1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8045" w14:textId="77777777" w:rsidR="005D68B3" w:rsidRDefault="005D6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3F1F" w14:paraId="3F5EBF8D" w14:textId="77777777" w:rsidTr="009C1E9A">
      <w:trPr>
        <w:cantSplit/>
      </w:trPr>
      <w:tc>
        <w:tcPr>
          <w:tcW w:w="0" w:type="pct"/>
        </w:tcPr>
        <w:p w14:paraId="15C435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3A79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480A1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B804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925F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3F1F" w14:paraId="3C739928" w14:textId="77777777" w:rsidTr="009C1E9A">
      <w:trPr>
        <w:cantSplit/>
      </w:trPr>
      <w:tc>
        <w:tcPr>
          <w:tcW w:w="0" w:type="pct"/>
        </w:tcPr>
        <w:p w14:paraId="30E74F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CE977B" w14:textId="1E5B39A6" w:rsidR="00EC379B" w:rsidRPr="009C1E9A" w:rsidRDefault="00C14F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18708</w:t>
          </w:r>
        </w:p>
      </w:tc>
      <w:tc>
        <w:tcPr>
          <w:tcW w:w="2453" w:type="pct"/>
        </w:tcPr>
        <w:p w14:paraId="74961369" w14:textId="4193AF2B" w:rsidR="00EC379B" w:rsidRDefault="00C14F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56580">
            <w:t>21.98.726</w:t>
          </w:r>
          <w:r>
            <w:fldChar w:fldCharType="end"/>
          </w:r>
        </w:p>
      </w:tc>
    </w:tr>
    <w:tr w:rsidR="001B3F1F" w14:paraId="702AD67D" w14:textId="77777777" w:rsidTr="009C1E9A">
      <w:trPr>
        <w:cantSplit/>
      </w:trPr>
      <w:tc>
        <w:tcPr>
          <w:tcW w:w="0" w:type="pct"/>
        </w:tcPr>
        <w:p w14:paraId="39C770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3A217F" w14:textId="17C6D6FD" w:rsidR="00EC379B" w:rsidRPr="009C1E9A" w:rsidRDefault="00C14F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6551</w:t>
          </w:r>
        </w:p>
      </w:tc>
      <w:tc>
        <w:tcPr>
          <w:tcW w:w="2453" w:type="pct"/>
        </w:tcPr>
        <w:p w14:paraId="5823C2A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EEF5F6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3F1F" w14:paraId="5D87799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67379EA" w14:textId="53FFAD8F" w:rsidR="00EC379B" w:rsidRDefault="00C14F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5658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718CD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4FEE5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218D" w14:textId="77777777" w:rsidR="005D68B3" w:rsidRDefault="005D6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07A14" w14:textId="77777777" w:rsidR="00000000" w:rsidRDefault="00C14F93">
      <w:r>
        <w:separator/>
      </w:r>
    </w:p>
  </w:footnote>
  <w:footnote w:type="continuationSeparator" w:id="0">
    <w:p w14:paraId="72B6ECA7" w14:textId="77777777" w:rsidR="00000000" w:rsidRDefault="00C1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ED65" w14:textId="77777777" w:rsidR="005D68B3" w:rsidRDefault="005D6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AB8E" w14:textId="77777777" w:rsidR="005D68B3" w:rsidRDefault="005D6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A50D" w14:textId="77777777" w:rsidR="005D68B3" w:rsidRDefault="005D6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7D0"/>
    <w:multiLevelType w:val="hybridMultilevel"/>
    <w:tmpl w:val="6C705D12"/>
    <w:lvl w:ilvl="0" w:tplc="1F7E8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CF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88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44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A0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EB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87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03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E0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C77"/>
    <w:multiLevelType w:val="hybridMultilevel"/>
    <w:tmpl w:val="24AC5050"/>
    <w:lvl w:ilvl="0" w:tplc="2EE80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87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63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C0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A3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A7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CF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44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6B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FF5"/>
    <w:multiLevelType w:val="hybridMultilevel"/>
    <w:tmpl w:val="C9BE2B5C"/>
    <w:lvl w:ilvl="0" w:tplc="7BDE7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6B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E0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2F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03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4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F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25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40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7382F"/>
    <w:multiLevelType w:val="hybridMultilevel"/>
    <w:tmpl w:val="6252445A"/>
    <w:lvl w:ilvl="0" w:tplc="CB48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CA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63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8A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B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4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CD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8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26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3E02"/>
    <w:rsid w:val="0004512B"/>
    <w:rsid w:val="00046297"/>
    <w:rsid w:val="000463F0"/>
    <w:rsid w:val="00046BDA"/>
    <w:rsid w:val="0004762E"/>
    <w:rsid w:val="000532BD"/>
    <w:rsid w:val="00055C12"/>
    <w:rsid w:val="000608B0"/>
    <w:rsid w:val="0006104C"/>
    <w:rsid w:val="0006399D"/>
    <w:rsid w:val="00064BF2"/>
    <w:rsid w:val="000667BA"/>
    <w:rsid w:val="000676A7"/>
    <w:rsid w:val="00073914"/>
    <w:rsid w:val="00074236"/>
    <w:rsid w:val="000746BD"/>
    <w:rsid w:val="00076D7D"/>
    <w:rsid w:val="00080D95"/>
    <w:rsid w:val="00081822"/>
    <w:rsid w:val="00090E6B"/>
    <w:rsid w:val="00091B2C"/>
    <w:rsid w:val="00092ABC"/>
    <w:rsid w:val="00097AAF"/>
    <w:rsid w:val="00097D13"/>
    <w:rsid w:val="000A3191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2C"/>
    <w:rsid w:val="001B26D8"/>
    <w:rsid w:val="001B3BFA"/>
    <w:rsid w:val="001B3F1F"/>
    <w:rsid w:val="001B75B8"/>
    <w:rsid w:val="001C1230"/>
    <w:rsid w:val="001C60B5"/>
    <w:rsid w:val="001C61B0"/>
    <w:rsid w:val="001C632D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D0A"/>
    <w:rsid w:val="001F02D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DE1"/>
    <w:rsid w:val="00296FF0"/>
    <w:rsid w:val="002A17C0"/>
    <w:rsid w:val="002A48DF"/>
    <w:rsid w:val="002A5A84"/>
    <w:rsid w:val="002A6E6F"/>
    <w:rsid w:val="002A74E4"/>
    <w:rsid w:val="002A7CFE"/>
    <w:rsid w:val="002B26DD"/>
    <w:rsid w:val="002B2784"/>
    <w:rsid w:val="002B2870"/>
    <w:rsid w:val="002B391B"/>
    <w:rsid w:val="002B4D15"/>
    <w:rsid w:val="002B5B42"/>
    <w:rsid w:val="002B7BA7"/>
    <w:rsid w:val="002C1C17"/>
    <w:rsid w:val="002C23D6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0F5"/>
    <w:rsid w:val="0032453B"/>
    <w:rsid w:val="00324868"/>
    <w:rsid w:val="003305F5"/>
    <w:rsid w:val="00332D8B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1B8"/>
    <w:rsid w:val="00357CA1"/>
    <w:rsid w:val="00361FE9"/>
    <w:rsid w:val="003624F2"/>
    <w:rsid w:val="00363854"/>
    <w:rsid w:val="00363D50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50E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FC1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CF0"/>
    <w:rsid w:val="0051324D"/>
    <w:rsid w:val="00515466"/>
    <w:rsid w:val="005154F7"/>
    <w:rsid w:val="005159DE"/>
    <w:rsid w:val="00517AE7"/>
    <w:rsid w:val="005269CE"/>
    <w:rsid w:val="005304B2"/>
    <w:rsid w:val="00531B14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8B3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3E5"/>
    <w:rsid w:val="00605F7B"/>
    <w:rsid w:val="00607E64"/>
    <w:rsid w:val="006106E9"/>
    <w:rsid w:val="0061159E"/>
    <w:rsid w:val="00614633"/>
    <w:rsid w:val="00614BC8"/>
    <w:rsid w:val="006151FB"/>
    <w:rsid w:val="00617411"/>
    <w:rsid w:val="00617E7D"/>
    <w:rsid w:val="006249CB"/>
    <w:rsid w:val="006272DD"/>
    <w:rsid w:val="00630963"/>
    <w:rsid w:val="00631897"/>
    <w:rsid w:val="00632928"/>
    <w:rsid w:val="006330DA"/>
    <w:rsid w:val="00633262"/>
    <w:rsid w:val="00633460"/>
    <w:rsid w:val="00633A18"/>
    <w:rsid w:val="006402E7"/>
    <w:rsid w:val="00640CB6"/>
    <w:rsid w:val="00641B42"/>
    <w:rsid w:val="00642870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0C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D21"/>
    <w:rsid w:val="006C0452"/>
    <w:rsid w:val="006C4709"/>
    <w:rsid w:val="006D3005"/>
    <w:rsid w:val="006D504F"/>
    <w:rsid w:val="006E0CAC"/>
    <w:rsid w:val="006E16C5"/>
    <w:rsid w:val="006E1CFB"/>
    <w:rsid w:val="006E1F94"/>
    <w:rsid w:val="006E26C1"/>
    <w:rsid w:val="006E30A8"/>
    <w:rsid w:val="006E45B0"/>
    <w:rsid w:val="006E5692"/>
    <w:rsid w:val="006F0C3A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5B7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031"/>
    <w:rsid w:val="007D2892"/>
    <w:rsid w:val="007D2DCC"/>
    <w:rsid w:val="007D47E1"/>
    <w:rsid w:val="007D7FCB"/>
    <w:rsid w:val="007E33B6"/>
    <w:rsid w:val="007E4E1F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8FA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E09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5B5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D33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EAC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4E9"/>
    <w:rsid w:val="009D37C7"/>
    <w:rsid w:val="009D4BBD"/>
    <w:rsid w:val="009D5A41"/>
    <w:rsid w:val="009E13BF"/>
    <w:rsid w:val="009E2AE7"/>
    <w:rsid w:val="009E3631"/>
    <w:rsid w:val="009E3EB9"/>
    <w:rsid w:val="009E69C2"/>
    <w:rsid w:val="009E70AF"/>
    <w:rsid w:val="009E7AEB"/>
    <w:rsid w:val="009F1B37"/>
    <w:rsid w:val="009F3EAC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B4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80C"/>
    <w:rsid w:val="00A6344D"/>
    <w:rsid w:val="00A644B8"/>
    <w:rsid w:val="00A6480F"/>
    <w:rsid w:val="00A6606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AEE"/>
    <w:rsid w:val="00AD304B"/>
    <w:rsid w:val="00AD4497"/>
    <w:rsid w:val="00AD7780"/>
    <w:rsid w:val="00AE189A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2E0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253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3F3"/>
    <w:rsid w:val="00B91AD7"/>
    <w:rsid w:val="00B92D23"/>
    <w:rsid w:val="00B95BC8"/>
    <w:rsid w:val="00B96E87"/>
    <w:rsid w:val="00BA146A"/>
    <w:rsid w:val="00BA32EE"/>
    <w:rsid w:val="00BB3D89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3A6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4F93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36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A93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0F5F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AC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4A12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6BF"/>
    <w:rsid w:val="00E27E5A"/>
    <w:rsid w:val="00E31135"/>
    <w:rsid w:val="00E317BA"/>
    <w:rsid w:val="00E3292D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580"/>
    <w:rsid w:val="00E573F4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2B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4A5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92C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901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2D2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1E1"/>
    <w:rsid w:val="00FF6840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F4B5C-F228-41C8-8B02-1632904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736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C02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2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2B9"/>
    <w:rPr>
      <w:b/>
      <w:bCs/>
    </w:rPr>
  </w:style>
  <w:style w:type="paragraph" w:styleId="Revision">
    <w:name w:val="Revision"/>
    <w:hidden/>
    <w:uiPriority w:val="99"/>
    <w:semiHidden/>
    <w:rsid w:val="00AD0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4719</Characters>
  <Application>Microsoft Office Word</Application>
  <DocSecurity>4</DocSecurity>
  <Lines>104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HB00872 (Committee Report (Substituted))</vt:lpstr>
    </vt:vector>
  </TitlesOfParts>
  <Company>State of Texas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18708</dc:subject>
  <dc:creator>State of Texas</dc:creator>
  <dc:description>HB 872 by Bernal-(H)State Affairs (Substitute Document Number: 87R 6551)</dc:description>
  <cp:lastModifiedBy>Emma Bodisch</cp:lastModifiedBy>
  <cp:revision>2</cp:revision>
  <cp:lastPrinted>2003-11-26T17:21:00Z</cp:lastPrinted>
  <dcterms:created xsi:type="dcterms:W3CDTF">2021-04-13T21:42:00Z</dcterms:created>
  <dcterms:modified xsi:type="dcterms:W3CDTF">2021-04-13T21:42:00Z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21.98.726</vt:lpwstr>
  </property>
</Properties>
</file>