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441F0" w14:paraId="5925D1DD" w14:textId="77777777" w:rsidTr="00345119">
        <w:tc>
          <w:tcPr>
            <w:tcW w:w="9576" w:type="dxa"/>
            <w:noWrap/>
          </w:tcPr>
          <w:p w14:paraId="6F13796A" w14:textId="77777777" w:rsidR="008423E4" w:rsidRPr="0022177D" w:rsidRDefault="003C67A1" w:rsidP="00383926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AF0FCF4" w14:textId="77777777" w:rsidR="008423E4" w:rsidRPr="0022177D" w:rsidRDefault="008423E4" w:rsidP="00383926">
      <w:pPr>
        <w:jc w:val="center"/>
      </w:pPr>
    </w:p>
    <w:p w14:paraId="2A24E52C" w14:textId="77777777" w:rsidR="008423E4" w:rsidRPr="00B31F0E" w:rsidRDefault="008423E4" w:rsidP="00383926"/>
    <w:p w14:paraId="64789C3A" w14:textId="77777777" w:rsidR="008423E4" w:rsidRPr="00742794" w:rsidRDefault="008423E4" w:rsidP="0038392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441F0" w14:paraId="7AFAC529" w14:textId="77777777" w:rsidTr="00345119">
        <w:tc>
          <w:tcPr>
            <w:tcW w:w="9576" w:type="dxa"/>
          </w:tcPr>
          <w:p w14:paraId="020E55B5" w14:textId="08B3F957" w:rsidR="008423E4" w:rsidRPr="00861995" w:rsidRDefault="003C67A1" w:rsidP="00383926">
            <w:pPr>
              <w:jc w:val="right"/>
            </w:pPr>
            <w:r>
              <w:t>C.S.H.B. 903</w:t>
            </w:r>
          </w:p>
        </w:tc>
      </w:tr>
      <w:tr w:rsidR="00D441F0" w14:paraId="74EA3090" w14:textId="77777777" w:rsidTr="00345119">
        <w:tc>
          <w:tcPr>
            <w:tcW w:w="9576" w:type="dxa"/>
          </w:tcPr>
          <w:p w14:paraId="016AAFE2" w14:textId="4ABC2FB2" w:rsidR="008423E4" w:rsidRPr="00861995" w:rsidRDefault="003C67A1" w:rsidP="00383926">
            <w:pPr>
              <w:jc w:val="right"/>
            </w:pPr>
            <w:r>
              <w:t xml:space="preserve">By: </w:t>
            </w:r>
            <w:r w:rsidR="00284E2F">
              <w:t>Oliverson</w:t>
            </w:r>
          </w:p>
        </w:tc>
      </w:tr>
      <w:tr w:rsidR="00D441F0" w14:paraId="191AC320" w14:textId="77777777" w:rsidTr="00345119">
        <w:tc>
          <w:tcPr>
            <w:tcW w:w="9576" w:type="dxa"/>
          </w:tcPr>
          <w:p w14:paraId="5755FEBF" w14:textId="24247715" w:rsidR="008423E4" w:rsidRPr="00861995" w:rsidRDefault="003C67A1" w:rsidP="00383926">
            <w:pPr>
              <w:jc w:val="right"/>
            </w:pPr>
            <w:r>
              <w:t>Judiciary &amp; Civil Jurisprudence</w:t>
            </w:r>
          </w:p>
        </w:tc>
      </w:tr>
      <w:tr w:rsidR="00D441F0" w14:paraId="7F9605B9" w14:textId="77777777" w:rsidTr="00345119">
        <w:tc>
          <w:tcPr>
            <w:tcW w:w="9576" w:type="dxa"/>
          </w:tcPr>
          <w:p w14:paraId="32BC5F05" w14:textId="73C8F6B7" w:rsidR="008423E4" w:rsidRDefault="003C67A1" w:rsidP="00383926">
            <w:pPr>
              <w:jc w:val="right"/>
            </w:pPr>
            <w:r>
              <w:t>Committee Report (Substituted)</w:t>
            </w:r>
          </w:p>
        </w:tc>
      </w:tr>
    </w:tbl>
    <w:p w14:paraId="39669247" w14:textId="77777777" w:rsidR="008423E4" w:rsidRDefault="008423E4" w:rsidP="00383926">
      <w:pPr>
        <w:tabs>
          <w:tab w:val="right" w:pos="9360"/>
        </w:tabs>
      </w:pPr>
    </w:p>
    <w:p w14:paraId="2F06823D" w14:textId="77777777" w:rsidR="008423E4" w:rsidRDefault="008423E4" w:rsidP="00383926"/>
    <w:p w14:paraId="27BF2CD6" w14:textId="77777777" w:rsidR="008423E4" w:rsidRDefault="008423E4" w:rsidP="0038392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41F0" w14:paraId="02FDDBF3" w14:textId="77777777" w:rsidTr="00345119">
        <w:tc>
          <w:tcPr>
            <w:tcW w:w="9576" w:type="dxa"/>
          </w:tcPr>
          <w:p w14:paraId="6C27DCF0" w14:textId="77777777" w:rsidR="008423E4" w:rsidRPr="00A8133F" w:rsidRDefault="003C67A1" w:rsidP="0038392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53E32A" w14:textId="77777777" w:rsidR="008423E4" w:rsidRDefault="008423E4" w:rsidP="00383926"/>
          <w:p w14:paraId="3D3EA563" w14:textId="3E902C8F" w:rsidR="008423E4" w:rsidRDefault="003C67A1" w:rsidP="00383926">
            <w:pPr>
              <w:pStyle w:val="Header"/>
              <w:jc w:val="both"/>
            </w:pPr>
            <w:r>
              <w:t>Concerns have been raised regarding the</w:t>
            </w:r>
            <w:r w:rsidR="007830FF">
              <w:t xml:space="preserve"> unnecessary expenses and</w:t>
            </w:r>
            <w:r>
              <w:t xml:space="preserve"> wasted</w:t>
            </w:r>
            <w:r w:rsidR="007830FF">
              <w:t xml:space="preserve"> time </w:t>
            </w:r>
            <w:r>
              <w:t xml:space="preserve">that results </w:t>
            </w:r>
            <w:r w:rsidR="007830FF">
              <w:t>when trying to reach small settlements involving a minor. Oftentimes</w:t>
            </w:r>
            <w:r>
              <w:t>,</w:t>
            </w:r>
            <w:r w:rsidR="007830FF">
              <w:t xml:space="preserve"> the lengthy court process prevent</w:t>
            </w:r>
            <w:r>
              <w:t>s</w:t>
            </w:r>
            <w:r w:rsidR="007830FF">
              <w:t xml:space="preserve"> those involved from </w:t>
            </w:r>
            <w:r>
              <w:t xml:space="preserve">receiving </w:t>
            </w:r>
            <w:r w:rsidR="007830FF">
              <w:t xml:space="preserve">their </w:t>
            </w:r>
            <w:r>
              <w:t>settlement in a timely manner, which</w:t>
            </w:r>
            <w:r w:rsidR="007830FF">
              <w:t xml:space="preserve"> </w:t>
            </w:r>
            <w:r>
              <w:t xml:space="preserve">further congests </w:t>
            </w:r>
            <w:r w:rsidR="007830FF">
              <w:t>court dockets</w:t>
            </w:r>
            <w:r>
              <w:t xml:space="preserve"> and </w:t>
            </w:r>
            <w:r w:rsidR="007830FF">
              <w:t>creat</w:t>
            </w:r>
            <w:r>
              <w:t>es</w:t>
            </w:r>
            <w:r w:rsidR="007830FF">
              <w:t xml:space="preserve"> more hassle</w:t>
            </w:r>
            <w:r>
              <w:t>s</w:t>
            </w:r>
            <w:r w:rsidR="007830FF">
              <w:t xml:space="preserve"> for all parties involved. </w:t>
            </w:r>
            <w:r>
              <w:t>There have been c</w:t>
            </w:r>
            <w:r>
              <w:t>alls to</w:t>
            </w:r>
            <w:r w:rsidR="007830FF">
              <w:t xml:space="preserve"> create a</w:t>
            </w:r>
            <w:r>
              <w:t xml:space="preserve"> more </w:t>
            </w:r>
            <w:r w:rsidR="007830FF">
              <w:t xml:space="preserve">efficient process for </w:t>
            </w:r>
            <w:r w:rsidR="00663E5E">
              <w:t>these settlements</w:t>
            </w:r>
            <w:r w:rsidR="007830FF">
              <w:t xml:space="preserve">. </w:t>
            </w:r>
            <w:r w:rsidR="00663E5E">
              <w:t>C.S.H.B. 903 seeks to address this issue by providing for settlement agreements involving a minor under certain conditions</w:t>
            </w:r>
            <w:r w:rsidR="007830FF">
              <w:t>.</w:t>
            </w:r>
          </w:p>
          <w:p w14:paraId="275BACB8" w14:textId="77777777" w:rsidR="008423E4" w:rsidRPr="00E26B13" w:rsidRDefault="008423E4" w:rsidP="00383926">
            <w:pPr>
              <w:rPr>
                <w:b/>
              </w:rPr>
            </w:pPr>
          </w:p>
        </w:tc>
      </w:tr>
      <w:tr w:rsidR="00D441F0" w14:paraId="59CA5139" w14:textId="77777777" w:rsidTr="00345119">
        <w:tc>
          <w:tcPr>
            <w:tcW w:w="9576" w:type="dxa"/>
          </w:tcPr>
          <w:p w14:paraId="5FEBA93B" w14:textId="77777777" w:rsidR="0017725B" w:rsidRDefault="003C67A1" w:rsidP="0038392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C81FDD" w14:textId="77777777" w:rsidR="0017725B" w:rsidRDefault="0017725B" w:rsidP="00383926">
            <w:pPr>
              <w:rPr>
                <w:b/>
                <w:u w:val="single"/>
              </w:rPr>
            </w:pPr>
          </w:p>
          <w:p w14:paraId="302BC923" w14:textId="2407C8E7" w:rsidR="000A35E4" w:rsidRPr="000A35E4" w:rsidRDefault="003C67A1" w:rsidP="00383926">
            <w:pPr>
              <w:jc w:val="both"/>
            </w:pPr>
            <w:r>
              <w:t>It is the committee's opinion that this bi</w:t>
            </w:r>
            <w:r>
              <w:t>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C412237" w14:textId="77777777" w:rsidR="0017725B" w:rsidRPr="0017725B" w:rsidRDefault="0017725B" w:rsidP="00383926">
            <w:pPr>
              <w:rPr>
                <w:b/>
                <w:u w:val="single"/>
              </w:rPr>
            </w:pPr>
          </w:p>
        </w:tc>
      </w:tr>
      <w:tr w:rsidR="00D441F0" w14:paraId="5258BBFD" w14:textId="77777777" w:rsidTr="00345119">
        <w:tc>
          <w:tcPr>
            <w:tcW w:w="9576" w:type="dxa"/>
          </w:tcPr>
          <w:p w14:paraId="419AEF38" w14:textId="77777777" w:rsidR="008423E4" w:rsidRPr="00A8133F" w:rsidRDefault="003C67A1" w:rsidP="0038392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FD80651" w14:textId="77777777" w:rsidR="008423E4" w:rsidRDefault="008423E4" w:rsidP="00383926"/>
          <w:p w14:paraId="38F1EB0E" w14:textId="55FEB73C" w:rsidR="000A35E4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58C3B4" w14:textId="77777777" w:rsidR="008423E4" w:rsidRPr="00E21FDC" w:rsidRDefault="008423E4" w:rsidP="00383926">
            <w:pPr>
              <w:rPr>
                <w:b/>
              </w:rPr>
            </w:pPr>
          </w:p>
        </w:tc>
      </w:tr>
      <w:tr w:rsidR="00D441F0" w14:paraId="72E485FC" w14:textId="77777777" w:rsidTr="00345119">
        <w:tc>
          <w:tcPr>
            <w:tcW w:w="9576" w:type="dxa"/>
          </w:tcPr>
          <w:p w14:paraId="3130AC75" w14:textId="77777777" w:rsidR="008423E4" w:rsidRPr="00A8133F" w:rsidRDefault="003C67A1" w:rsidP="0038392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54CC49" w14:textId="77777777" w:rsidR="008423E4" w:rsidRDefault="008423E4" w:rsidP="00383926"/>
          <w:p w14:paraId="572DE6CF" w14:textId="6A8AB0A5" w:rsidR="009C36CD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46674B">
              <w:t>H.B. 903 amends the Civil Practice and Remedies Code to authorize a person having legal custody of a minor to enter into a settlement agreement with a person against whom the minor has a claim if the following conditions are met:</w:t>
            </w:r>
          </w:p>
          <w:p w14:paraId="16FC6852" w14:textId="77777777" w:rsidR="0046674B" w:rsidRDefault="003C67A1" w:rsidP="003839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6674B">
              <w:t xml:space="preserve">a guardian or guardian ad </w:t>
            </w:r>
            <w:r w:rsidRPr="0046674B">
              <w:t>litem has not been appointed for the minor</w:t>
            </w:r>
            <w:r>
              <w:t>;</w:t>
            </w:r>
          </w:p>
          <w:p w14:paraId="6C3AD273" w14:textId="2C8E30F4" w:rsidR="0046674B" w:rsidRDefault="003C67A1" w:rsidP="003839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6674B">
              <w:t xml:space="preserve">the total amount of the </w:t>
            </w:r>
            <w:r w:rsidR="000D402A">
              <w:t xml:space="preserve">settlement </w:t>
            </w:r>
            <w:r w:rsidRPr="0046674B">
              <w:t>is $25,000 or less;</w:t>
            </w:r>
          </w:p>
          <w:p w14:paraId="27A87C9E" w14:textId="5CAA2E74" w:rsidR="0046674B" w:rsidRDefault="003C67A1" w:rsidP="003839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46674B">
              <w:t xml:space="preserve">he money to be paid under the settlement agreement is to be paid as provided by </w:t>
            </w:r>
            <w:r w:rsidR="000A35E4">
              <w:t>the bill</w:t>
            </w:r>
            <w:r w:rsidRPr="0046674B">
              <w:t>; and</w:t>
            </w:r>
          </w:p>
          <w:p w14:paraId="05C1702D" w14:textId="77777777" w:rsidR="0046674B" w:rsidRDefault="003C67A1" w:rsidP="0038392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6674B">
              <w:t>the person entering into the settlement agreement on behalf of</w:t>
            </w:r>
            <w:r w:rsidRPr="0046674B">
              <w:t xml:space="preserve"> the minor completes an affidavit or verified statement that attests that the person has made a reasonable inquiry and that:</w:t>
            </w:r>
          </w:p>
          <w:p w14:paraId="68F9195B" w14:textId="77777777" w:rsidR="0046674B" w:rsidRDefault="003C67A1" w:rsidP="0038392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to the best of the person's knowledge, the minor will be fully compensated by the settlement; or</w:t>
            </w:r>
          </w:p>
          <w:p w14:paraId="374E9BF0" w14:textId="77777777" w:rsidR="0046674B" w:rsidRDefault="003C67A1" w:rsidP="00383926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there is no practical way to obtai</w:t>
            </w:r>
            <w:r>
              <w:t>n additional amounts from the party entering into the settlement agreement with the minor.</w:t>
            </w:r>
          </w:p>
          <w:p w14:paraId="5DC124E5" w14:textId="0412C867" w:rsidR="0046674B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the attorney representing the person entering into the settlement agreement on behalf o</w:t>
            </w:r>
            <w:r w:rsidR="00D05591">
              <w:t>f</w:t>
            </w:r>
            <w:r>
              <w:t xml:space="preserve"> the minor, if any, to maintain the affidavit or verified s</w:t>
            </w:r>
            <w:r>
              <w:t>tatement in the attorney's file until the second anniversary of the date</w:t>
            </w:r>
            <w:r w:rsidR="00D05591">
              <w:t xml:space="preserve"> the minor attains the age of 21 years.</w:t>
            </w:r>
          </w:p>
          <w:p w14:paraId="5F9EBC22" w14:textId="073078B4" w:rsidR="000D402A" w:rsidRDefault="000D402A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99356EC" w14:textId="57E7EC12" w:rsidR="000D402A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903 requires money payable to a minor under the settlement agreement to be deposited into the registry of:</w:t>
            </w:r>
          </w:p>
          <w:p w14:paraId="77585257" w14:textId="5048D836" w:rsidR="000D402A" w:rsidRDefault="003C67A1" w:rsidP="003839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court in which a civil </w:t>
            </w:r>
            <w:r>
              <w:t>action asserting the settled claim was filed; or</w:t>
            </w:r>
          </w:p>
          <w:p w14:paraId="159B742D" w14:textId="65F8B9A9" w:rsidR="000D402A" w:rsidRDefault="003C67A1" w:rsidP="0038392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a court in which the claim could have been filed</w:t>
            </w:r>
            <w:r w:rsidR="009F6FE7">
              <w:t xml:space="preserve"> if no civil action asserting the claim was filed</w:t>
            </w:r>
            <w:r>
              <w:t>.</w:t>
            </w:r>
          </w:p>
          <w:p w14:paraId="53A5C189" w14:textId="76B6B529" w:rsidR="000D402A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 court order is not required to make such a deposit.</w:t>
            </w:r>
            <w:r w:rsidR="004C6527">
              <w:t xml:space="preserve"> The bill requires money payable under the settle</w:t>
            </w:r>
            <w:r w:rsidR="008C4FFF">
              <w:t>ment</w:t>
            </w:r>
            <w:r w:rsidR="004C6527">
              <w:t xml:space="preserve"> agreement that is to be paid by the payment of premium to purchase an annuity to be made by direct payment to the </w:t>
            </w:r>
            <w:r w:rsidR="004C6527" w:rsidRPr="004C6527">
              <w:t>provider of the annuity with the minor designated as the sole beneficiary of the annuity</w:t>
            </w:r>
            <w:r w:rsidR="004C6527">
              <w:t>.</w:t>
            </w:r>
          </w:p>
          <w:p w14:paraId="55B155CF" w14:textId="77777777" w:rsidR="00D05591" w:rsidRDefault="00D0559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8B29B1" w14:textId="46036F52" w:rsidR="00567D1D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D05591">
              <w:t xml:space="preserve">H.B. 903 </w:t>
            </w:r>
            <w:r w:rsidR="00803AAF">
              <w:t xml:space="preserve">prohibits </w:t>
            </w:r>
            <w:r w:rsidR="00E36A13">
              <w:t>the withdrawal</w:t>
            </w:r>
            <w:r w:rsidR="00C101AC">
              <w:t>, removal, payout, or transfer</w:t>
            </w:r>
            <w:r w:rsidR="00E36A13">
              <w:t xml:space="preserve"> of money </w:t>
            </w:r>
            <w:r>
              <w:t xml:space="preserve">deposited into a court registry </w:t>
            </w:r>
            <w:r w:rsidR="00803AAF">
              <w:t>except</w:t>
            </w:r>
            <w:r w:rsidR="00366BCE">
              <w:t xml:space="preserve"> </w:t>
            </w:r>
            <w:r w:rsidR="0078702A">
              <w:t>under</w:t>
            </w:r>
            <w:r w:rsidR="00366BCE">
              <w:t xml:space="preserve"> a court order</w:t>
            </w:r>
            <w:r w:rsidR="0078702A">
              <w:t>,</w:t>
            </w:r>
            <w:r w:rsidR="00366BCE">
              <w:t xml:space="preserve"> </w:t>
            </w:r>
            <w:r w:rsidR="00E36A13">
              <w:t>on the minor'</w:t>
            </w:r>
            <w:r w:rsidR="00366BCE">
              <w:t>s attainment of 18 years of age</w:t>
            </w:r>
            <w:r w:rsidR="0078702A">
              <w:t>,</w:t>
            </w:r>
            <w:r w:rsidR="00E36A13">
              <w:t xml:space="preserve"> or on the minor's death. The bill </w:t>
            </w:r>
            <w:r>
              <w:t>provides for the binding effect</w:t>
            </w:r>
            <w:r w:rsidR="00075B54">
              <w:t xml:space="preserve"> of</w:t>
            </w:r>
            <w:r>
              <w:t xml:space="preserve"> </w:t>
            </w:r>
            <w:r w:rsidR="005454C9">
              <w:t xml:space="preserve">a settlement agreement made on a minor's behalf by a legal custodian, as authorized by the bill. </w:t>
            </w:r>
            <w:r w:rsidR="00842E35">
              <w:t xml:space="preserve">The bill provides for certain exemptions from liability </w:t>
            </w:r>
            <w:r w:rsidR="00F0784C">
              <w:t xml:space="preserve">in connection with an applicable settlement </w:t>
            </w:r>
            <w:r w:rsidR="00842E35">
              <w:t>for a person acting in good faith on a minor's behalf and for a person against whom a minor has a claim</w:t>
            </w:r>
            <w:r w:rsidR="00F0784C">
              <w:t xml:space="preserve"> who settles that claim in good faith. </w:t>
            </w:r>
          </w:p>
          <w:p w14:paraId="0B254B24" w14:textId="77777777" w:rsidR="00F0784C" w:rsidRDefault="00F0784C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FCB0AFF" w14:textId="52090D31" w:rsidR="00567D1D" w:rsidRPr="009C36CD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903 amends the Property Code to </w:t>
            </w:r>
            <w:r w:rsidR="00767A6A">
              <w:t xml:space="preserve">exclude a debt incurred under a settlement agreement </w:t>
            </w:r>
            <w:r w:rsidR="0068456A">
              <w:t xml:space="preserve">made </w:t>
            </w:r>
            <w:r w:rsidR="00767A6A">
              <w:t xml:space="preserve">under the bill's provisions from </w:t>
            </w:r>
            <w:r w:rsidR="0068456A">
              <w:t xml:space="preserve">the applicability of </w:t>
            </w:r>
            <w:r w:rsidR="00767A6A">
              <w:t>a provision authorizing</w:t>
            </w:r>
            <w:r w:rsidR="0045301E">
              <w:t xml:space="preserve"> </w:t>
            </w:r>
            <w:r w:rsidR="00767A6A">
              <w:t>certain</w:t>
            </w:r>
            <w:r w:rsidR="0045301E">
              <w:t xml:space="preserve"> person</w:t>
            </w:r>
            <w:r w:rsidR="00767A6A">
              <w:t>s</w:t>
            </w:r>
            <w:r w:rsidR="0045301E">
              <w:t xml:space="preserve"> who </w:t>
            </w:r>
            <w:r w:rsidR="00767A6A">
              <w:t xml:space="preserve">hold property </w:t>
            </w:r>
            <w:r w:rsidR="0068456A">
              <w:t xml:space="preserve">of </w:t>
            </w:r>
            <w:r w:rsidR="00767A6A">
              <w:t xml:space="preserve">or </w:t>
            </w:r>
            <w:r w:rsidR="0045301E">
              <w:t xml:space="preserve">owe a liquidated debt to a minor </w:t>
            </w:r>
            <w:r w:rsidR="00767A6A">
              <w:t>without</w:t>
            </w:r>
            <w:r w:rsidR="0045301E">
              <w:t xml:space="preserve"> a guardian to make an irrevocable transfer to a custodian for the benefit of the minor</w:t>
            </w:r>
            <w:r w:rsidR="008F07E6">
              <w:t xml:space="preserve">. </w:t>
            </w:r>
          </w:p>
          <w:p w14:paraId="1B71AC1D" w14:textId="77777777" w:rsidR="008423E4" w:rsidRPr="00835628" w:rsidRDefault="008423E4" w:rsidP="00383926">
            <w:pPr>
              <w:rPr>
                <w:b/>
              </w:rPr>
            </w:pPr>
          </w:p>
        </w:tc>
      </w:tr>
      <w:tr w:rsidR="00D441F0" w14:paraId="245D5583" w14:textId="77777777" w:rsidTr="00345119">
        <w:tc>
          <w:tcPr>
            <w:tcW w:w="9576" w:type="dxa"/>
          </w:tcPr>
          <w:p w14:paraId="43F51041" w14:textId="77777777" w:rsidR="008423E4" w:rsidRPr="00A8133F" w:rsidRDefault="003C67A1" w:rsidP="0038392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7D6342" w14:textId="77777777" w:rsidR="008423E4" w:rsidRDefault="008423E4" w:rsidP="00383926"/>
          <w:p w14:paraId="0455A60F" w14:textId="119F65AD" w:rsidR="008423E4" w:rsidRPr="003624F2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4D04113" w14:textId="77777777" w:rsidR="008423E4" w:rsidRPr="00233FDB" w:rsidRDefault="008423E4" w:rsidP="00383926">
            <w:pPr>
              <w:rPr>
                <w:b/>
              </w:rPr>
            </w:pPr>
          </w:p>
        </w:tc>
      </w:tr>
      <w:tr w:rsidR="00D441F0" w14:paraId="77C04F3E" w14:textId="77777777" w:rsidTr="00345119">
        <w:tc>
          <w:tcPr>
            <w:tcW w:w="9576" w:type="dxa"/>
          </w:tcPr>
          <w:p w14:paraId="46A31CB0" w14:textId="77777777" w:rsidR="00284E2F" w:rsidRDefault="003C67A1" w:rsidP="003839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5E8C8436" w14:textId="77777777" w:rsidR="004C4B00" w:rsidRDefault="004C4B00" w:rsidP="00383926">
            <w:pPr>
              <w:jc w:val="both"/>
            </w:pPr>
          </w:p>
          <w:p w14:paraId="0788FA2A" w14:textId="0A12E328" w:rsidR="004C4B00" w:rsidRDefault="003C67A1" w:rsidP="00383926">
            <w:pPr>
              <w:jc w:val="both"/>
            </w:pPr>
            <w:r>
              <w:t>While C.S.H.B. 903 may differ from the original in minor or nonsubstantive ways, the following summarizes the substantial differences between the introduced and committee substitute versions of the bill.</w:t>
            </w:r>
          </w:p>
          <w:p w14:paraId="11A1354C" w14:textId="551D4A13" w:rsidR="004C4B00" w:rsidRDefault="004C4B00" w:rsidP="00383926">
            <w:pPr>
              <w:jc w:val="both"/>
            </w:pPr>
          </w:p>
          <w:p w14:paraId="5FAF9EDB" w14:textId="5D6EBA68" w:rsidR="004C4B00" w:rsidRDefault="003C67A1" w:rsidP="00383926">
            <w:pPr>
              <w:jc w:val="both"/>
            </w:pPr>
            <w:r>
              <w:t>The substitute includes a requirement for money pay</w:t>
            </w:r>
            <w:r>
              <w:t>able to a minor under a settlement agreement to be deposited into the registry of the applicable court. The substitute</w:t>
            </w:r>
            <w:r w:rsidR="00663E5E">
              <w:t xml:space="preserve"> does not include </w:t>
            </w:r>
            <w:r>
              <w:t xml:space="preserve">provisions authorizing </w:t>
            </w:r>
            <w:r w:rsidR="00663E5E">
              <w:t xml:space="preserve">the following methods of payment to a minor under </w:t>
            </w:r>
            <w:r>
              <w:t>a</w:t>
            </w:r>
            <w:r w:rsidR="00663E5E">
              <w:t xml:space="preserve"> settlement agreement:</w:t>
            </w:r>
          </w:p>
          <w:p w14:paraId="4F39C8C2" w14:textId="77B19AFE" w:rsidR="00663E5E" w:rsidRDefault="003C67A1" w:rsidP="0038392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cash settlement with re</w:t>
            </w:r>
            <w:r>
              <w:t>presentation by an attorney</w:t>
            </w:r>
            <w:r w:rsidR="00CC2984">
              <w:t xml:space="preserve"> with payment into a trust account maintained by the attorney to be held in a savings account in the sole name of the minor</w:t>
            </w:r>
            <w:r>
              <w:t>;</w:t>
            </w:r>
          </w:p>
          <w:p w14:paraId="76D79630" w14:textId="29C65768" w:rsidR="00663E5E" w:rsidRDefault="003C67A1" w:rsidP="0038392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cash settlement without representation by an attorney</w:t>
            </w:r>
            <w:r w:rsidR="00CC2984">
              <w:t xml:space="preserve"> with payment into a savings account in the sole name of the minor</w:t>
            </w:r>
            <w:r>
              <w:t>;</w:t>
            </w:r>
            <w:r w:rsidR="00020D9A">
              <w:t xml:space="preserve"> and</w:t>
            </w:r>
          </w:p>
          <w:p w14:paraId="0C9A66C4" w14:textId="78FD4D56" w:rsidR="00020D9A" w:rsidRDefault="003C67A1" w:rsidP="0038392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cash settlement to a minor who is in the permanent managing conservatorship of the Department of Family and Protective Services</w:t>
            </w:r>
            <w:r w:rsidR="00CC2984">
              <w:t xml:space="preserve"> with payment into a trust account or subaccount of a trust account</w:t>
            </w:r>
            <w:r>
              <w:t>.</w:t>
            </w:r>
          </w:p>
          <w:p w14:paraId="6FF13267" w14:textId="77777777" w:rsidR="00020D9A" w:rsidRDefault="00020D9A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A88E8A" w14:textId="446479E3" w:rsidR="00663E5E" w:rsidRDefault="003C67A1" w:rsidP="0038392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substitute does not include a provision excluding from the maximum total settlement amount of $25,000 the reimbursement of medical expenses, liens, and reasonable attorney's fees and other litigation costs.</w:t>
            </w:r>
          </w:p>
          <w:p w14:paraId="02BF161F" w14:textId="77814FD6" w:rsidR="004C4B00" w:rsidRPr="004C4B00" w:rsidRDefault="004C4B00" w:rsidP="00383926">
            <w:pPr>
              <w:jc w:val="both"/>
            </w:pPr>
          </w:p>
        </w:tc>
      </w:tr>
      <w:tr w:rsidR="00D441F0" w14:paraId="74BD58F6" w14:textId="77777777" w:rsidTr="00345119">
        <w:tc>
          <w:tcPr>
            <w:tcW w:w="9576" w:type="dxa"/>
          </w:tcPr>
          <w:p w14:paraId="60F366D8" w14:textId="77777777" w:rsidR="00284E2F" w:rsidRPr="009C1E9A" w:rsidRDefault="00284E2F" w:rsidP="00383926">
            <w:pPr>
              <w:rPr>
                <w:b/>
                <w:u w:val="single"/>
              </w:rPr>
            </w:pPr>
          </w:p>
        </w:tc>
      </w:tr>
      <w:tr w:rsidR="00D441F0" w14:paraId="765C9388" w14:textId="77777777" w:rsidTr="00345119">
        <w:tc>
          <w:tcPr>
            <w:tcW w:w="9576" w:type="dxa"/>
          </w:tcPr>
          <w:p w14:paraId="6E2AADDB" w14:textId="77777777" w:rsidR="00284E2F" w:rsidRPr="00284E2F" w:rsidRDefault="00284E2F" w:rsidP="00383926">
            <w:pPr>
              <w:jc w:val="both"/>
            </w:pPr>
          </w:p>
        </w:tc>
      </w:tr>
    </w:tbl>
    <w:p w14:paraId="2BA653BD" w14:textId="77777777" w:rsidR="008423E4" w:rsidRPr="00BE0E75" w:rsidRDefault="008423E4" w:rsidP="00383926">
      <w:pPr>
        <w:jc w:val="both"/>
        <w:rPr>
          <w:rFonts w:ascii="Arial" w:hAnsi="Arial"/>
          <w:sz w:val="16"/>
          <w:szCs w:val="16"/>
        </w:rPr>
      </w:pPr>
    </w:p>
    <w:p w14:paraId="26E748A3" w14:textId="77777777" w:rsidR="004108C3" w:rsidRPr="008423E4" w:rsidRDefault="004108C3" w:rsidP="0038392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A4229" w14:textId="77777777" w:rsidR="00000000" w:rsidRDefault="003C67A1">
      <w:r>
        <w:separator/>
      </w:r>
    </w:p>
  </w:endnote>
  <w:endnote w:type="continuationSeparator" w:id="0">
    <w:p w14:paraId="2205E3E2" w14:textId="77777777" w:rsidR="00000000" w:rsidRDefault="003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4ED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441F0" w14:paraId="6E897EF2" w14:textId="77777777" w:rsidTr="009C1E9A">
      <w:trPr>
        <w:cantSplit/>
      </w:trPr>
      <w:tc>
        <w:tcPr>
          <w:tcW w:w="0" w:type="pct"/>
        </w:tcPr>
        <w:p w14:paraId="0C6B6C6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2A85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49E68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01D51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FCFB6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41F0" w14:paraId="51CD929F" w14:textId="77777777" w:rsidTr="009C1E9A">
      <w:trPr>
        <w:cantSplit/>
      </w:trPr>
      <w:tc>
        <w:tcPr>
          <w:tcW w:w="0" w:type="pct"/>
        </w:tcPr>
        <w:p w14:paraId="2BD80E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9E6BEC" w14:textId="0BEDA3A1" w:rsidR="00EC379B" w:rsidRPr="009C1E9A" w:rsidRDefault="003C67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17007</w:t>
          </w:r>
        </w:p>
      </w:tc>
      <w:tc>
        <w:tcPr>
          <w:tcW w:w="2453" w:type="pct"/>
        </w:tcPr>
        <w:p w14:paraId="4A9F069D" w14:textId="09513DC8" w:rsidR="00EC379B" w:rsidRDefault="003C67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B0D6B">
            <w:t>21.84.655</w:t>
          </w:r>
          <w:r>
            <w:fldChar w:fldCharType="end"/>
          </w:r>
        </w:p>
      </w:tc>
    </w:tr>
    <w:tr w:rsidR="00D441F0" w14:paraId="2DCECBC7" w14:textId="77777777" w:rsidTr="009C1E9A">
      <w:trPr>
        <w:cantSplit/>
      </w:trPr>
      <w:tc>
        <w:tcPr>
          <w:tcW w:w="0" w:type="pct"/>
        </w:tcPr>
        <w:p w14:paraId="567EB2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95C948" w14:textId="4708112F" w:rsidR="00EC379B" w:rsidRPr="009C1E9A" w:rsidRDefault="003C67A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14052</w:t>
          </w:r>
        </w:p>
      </w:tc>
      <w:tc>
        <w:tcPr>
          <w:tcW w:w="2453" w:type="pct"/>
        </w:tcPr>
        <w:p w14:paraId="6E57B01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0C240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41F0" w14:paraId="622FD17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6C63B6" w14:textId="565B5AF6" w:rsidR="00EC379B" w:rsidRDefault="003C67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475E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63A35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F83BF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D8C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2E74" w14:textId="77777777" w:rsidR="00000000" w:rsidRDefault="003C67A1">
      <w:r>
        <w:separator/>
      </w:r>
    </w:p>
  </w:footnote>
  <w:footnote w:type="continuationSeparator" w:id="0">
    <w:p w14:paraId="2C8A0BFE" w14:textId="77777777" w:rsidR="00000000" w:rsidRDefault="003C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0E1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D7F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8BF2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09"/>
    <w:multiLevelType w:val="hybridMultilevel"/>
    <w:tmpl w:val="F8904718"/>
    <w:lvl w:ilvl="0" w:tplc="39025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CD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65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EC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CE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CC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62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05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E9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940D3"/>
    <w:multiLevelType w:val="hybridMultilevel"/>
    <w:tmpl w:val="5BC86940"/>
    <w:lvl w:ilvl="0" w:tplc="FE90A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6B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84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0A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E5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2E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E8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CB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00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B62"/>
    <w:multiLevelType w:val="hybridMultilevel"/>
    <w:tmpl w:val="D1F09F16"/>
    <w:lvl w:ilvl="0" w:tplc="CC462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A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D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8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8A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6E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25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82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E3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4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D9A"/>
    <w:rsid w:val="00020E9B"/>
    <w:rsid w:val="000236C1"/>
    <w:rsid w:val="000236EC"/>
    <w:rsid w:val="0002413D"/>
    <w:rsid w:val="000249F2"/>
    <w:rsid w:val="00027E81"/>
    <w:rsid w:val="00027E8E"/>
    <w:rsid w:val="00030AD8"/>
    <w:rsid w:val="0003107A"/>
    <w:rsid w:val="00031C95"/>
    <w:rsid w:val="000330D4"/>
    <w:rsid w:val="0003572D"/>
    <w:rsid w:val="00035DB0"/>
    <w:rsid w:val="00037088"/>
    <w:rsid w:val="000400D5"/>
    <w:rsid w:val="00042B7E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B54"/>
    <w:rsid w:val="00076D7D"/>
    <w:rsid w:val="00080D95"/>
    <w:rsid w:val="00090E6B"/>
    <w:rsid w:val="00091B2C"/>
    <w:rsid w:val="00092ABC"/>
    <w:rsid w:val="00097AAF"/>
    <w:rsid w:val="00097D13"/>
    <w:rsid w:val="000A35E4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2842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02A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85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C3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D6B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021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50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E2F"/>
    <w:rsid w:val="002874E3"/>
    <w:rsid w:val="00287656"/>
    <w:rsid w:val="00291518"/>
    <w:rsid w:val="00296FF0"/>
    <w:rsid w:val="002A17C0"/>
    <w:rsid w:val="002A2435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24A6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BCE"/>
    <w:rsid w:val="00370155"/>
    <w:rsid w:val="003712D5"/>
    <w:rsid w:val="003747DF"/>
    <w:rsid w:val="00377E3D"/>
    <w:rsid w:val="00383926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7A1"/>
    <w:rsid w:val="003D2AA6"/>
    <w:rsid w:val="003D726D"/>
    <w:rsid w:val="003E0875"/>
    <w:rsid w:val="003E0BB8"/>
    <w:rsid w:val="003E6CB0"/>
    <w:rsid w:val="003F1F5E"/>
    <w:rsid w:val="003F286A"/>
    <w:rsid w:val="003F4C60"/>
    <w:rsid w:val="003F77F8"/>
    <w:rsid w:val="00400ACD"/>
    <w:rsid w:val="00403B15"/>
    <w:rsid w:val="00403E8A"/>
    <w:rsid w:val="004075B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6F4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01E"/>
    <w:rsid w:val="00455936"/>
    <w:rsid w:val="00455ACE"/>
    <w:rsid w:val="00461B69"/>
    <w:rsid w:val="00462B3D"/>
    <w:rsid w:val="0046674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00"/>
    <w:rsid w:val="004C4B8A"/>
    <w:rsid w:val="004C52EF"/>
    <w:rsid w:val="004C5F34"/>
    <w:rsid w:val="004C600C"/>
    <w:rsid w:val="004C6527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4C9"/>
    <w:rsid w:val="00545548"/>
    <w:rsid w:val="00545C17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67D1D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450"/>
    <w:rsid w:val="00645750"/>
    <w:rsid w:val="00650692"/>
    <w:rsid w:val="006508D3"/>
    <w:rsid w:val="00650AFA"/>
    <w:rsid w:val="00662B77"/>
    <w:rsid w:val="00662D0E"/>
    <w:rsid w:val="00663265"/>
    <w:rsid w:val="0066345F"/>
    <w:rsid w:val="00663E5E"/>
    <w:rsid w:val="0066485B"/>
    <w:rsid w:val="0067036E"/>
    <w:rsid w:val="00671693"/>
    <w:rsid w:val="006757AA"/>
    <w:rsid w:val="0068127E"/>
    <w:rsid w:val="00681790"/>
    <w:rsid w:val="006823AA"/>
    <w:rsid w:val="0068456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299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0E0A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433"/>
    <w:rsid w:val="00764786"/>
    <w:rsid w:val="00766E12"/>
    <w:rsid w:val="00767A6A"/>
    <w:rsid w:val="0077098E"/>
    <w:rsid w:val="00771287"/>
    <w:rsid w:val="0077149E"/>
    <w:rsid w:val="00777518"/>
    <w:rsid w:val="0077779E"/>
    <w:rsid w:val="00780FB6"/>
    <w:rsid w:val="007830FF"/>
    <w:rsid w:val="0078552A"/>
    <w:rsid w:val="00785729"/>
    <w:rsid w:val="00786058"/>
    <w:rsid w:val="0078702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C6F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AAF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2E3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CF4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FFF"/>
    <w:rsid w:val="008D27A5"/>
    <w:rsid w:val="008D2AAB"/>
    <w:rsid w:val="008D309C"/>
    <w:rsid w:val="008D58F9"/>
    <w:rsid w:val="008E3338"/>
    <w:rsid w:val="008E47BE"/>
    <w:rsid w:val="008F07E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94A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6FE7"/>
    <w:rsid w:val="009F7981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13D6"/>
    <w:rsid w:val="00A12330"/>
    <w:rsid w:val="00A1259F"/>
    <w:rsid w:val="00A1446F"/>
    <w:rsid w:val="00A151B5"/>
    <w:rsid w:val="00A220FF"/>
    <w:rsid w:val="00A227E0"/>
    <w:rsid w:val="00A232E4"/>
    <w:rsid w:val="00A24AAD"/>
    <w:rsid w:val="00A24B90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5E5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4E7"/>
    <w:rsid w:val="00B7606F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01A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8C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984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CF2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4F8C"/>
    <w:rsid w:val="00D05591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1F0"/>
    <w:rsid w:val="00D44ADE"/>
    <w:rsid w:val="00D4704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646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141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A13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40CC"/>
    <w:rsid w:val="00E76453"/>
    <w:rsid w:val="00E77353"/>
    <w:rsid w:val="00E775AE"/>
    <w:rsid w:val="00E8272C"/>
    <w:rsid w:val="00E827C7"/>
    <w:rsid w:val="00E85DBD"/>
    <w:rsid w:val="00E86838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84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49CF"/>
    <w:rsid w:val="00F4569E"/>
    <w:rsid w:val="00F45AFC"/>
    <w:rsid w:val="00F462F4"/>
    <w:rsid w:val="00F50130"/>
    <w:rsid w:val="00F52402"/>
    <w:rsid w:val="00F5605D"/>
    <w:rsid w:val="00F64B05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D0D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E264E0-C8E6-442F-8714-D5C6A7FB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0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0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07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0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07E6"/>
    <w:rPr>
      <w:b/>
      <w:bCs/>
    </w:rPr>
  </w:style>
  <w:style w:type="paragraph" w:styleId="Revision">
    <w:name w:val="Revision"/>
    <w:hidden/>
    <w:uiPriority w:val="99"/>
    <w:semiHidden/>
    <w:rsid w:val="003F4C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4294</Characters>
  <Application>Microsoft Office Word</Application>
  <DocSecurity>4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HB00903 (Committee Report (Substituted))</vt:lpstr>
    </vt:vector>
  </TitlesOfParts>
  <Company>State of Texas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17007</dc:subject>
  <dc:creator>State of Texas</dc:creator>
  <dc:description>HB 903 by Oliverson-(H)Judiciary &amp; Civil Jurisprudence (Substitute Document Number: 87R 14052)</dc:description>
  <cp:lastModifiedBy>Emma Bodisch</cp:lastModifiedBy>
  <cp:revision>2</cp:revision>
  <cp:lastPrinted>2003-11-26T17:21:00Z</cp:lastPrinted>
  <dcterms:created xsi:type="dcterms:W3CDTF">2021-04-01T16:21:00Z</dcterms:created>
  <dcterms:modified xsi:type="dcterms:W3CDTF">2021-04-01T16:21:00Z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21.84.655</vt:lpwstr>
  </property>
</Properties>
</file>