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5C8C" w14:paraId="01755957" w14:textId="77777777" w:rsidTr="00345119">
        <w:tc>
          <w:tcPr>
            <w:tcW w:w="9576" w:type="dxa"/>
            <w:noWrap/>
          </w:tcPr>
          <w:p w14:paraId="07206953" w14:textId="77777777" w:rsidR="008423E4" w:rsidRPr="0022177D" w:rsidRDefault="004D4646" w:rsidP="00A6258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F11D53" w14:textId="77777777" w:rsidR="008423E4" w:rsidRPr="0022177D" w:rsidRDefault="008423E4" w:rsidP="00A62583">
      <w:pPr>
        <w:jc w:val="center"/>
      </w:pPr>
    </w:p>
    <w:p w14:paraId="75FEADE6" w14:textId="77777777" w:rsidR="008423E4" w:rsidRPr="00B31F0E" w:rsidRDefault="008423E4" w:rsidP="00A62583"/>
    <w:p w14:paraId="46625777" w14:textId="77777777" w:rsidR="008423E4" w:rsidRPr="00742794" w:rsidRDefault="008423E4" w:rsidP="00A6258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5C8C" w14:paraId="47058437" w14:textId="77777777" w:rsidTr="00345119">
        <w:tc>
          <w:tcPr>
            <w:tcW w:w="9576" w:type="dxa"/>
          </w:tcPr>
          <w:p w14:paraId="45C238B0" w14:textId="33A930D2" w:rsidR="008423E4" w:rsidRPr="00861995" w:rsidRDefault="004D4646" w:rsidP="00A62583">
            <w:pPr>
              <w:jc w:val="right"/>
            </w:pPr>
            <w:r>
              <w:t>C.S.H.B. 964</w:t>
            </w:r>
          </w:p>
        </w:tc>
      </w:tr>
      <w:tr w:rsidR="00DE5C8C" w14:paraId="64840EE8" w14:textId="77777777" w:rsidTr="00345119">
        <w:tc>
          <w:tcPr>
            <w:tcW w:w="9576" w:type="dxa"/>
          </w:tcPr>
          <w:p w14:paraId="39AE0860" w14:textId="542FF8AB" w:rsidR="008423E4" w:rsidRPr="00861995" w:rsidRDefault="004D4646" w:rsidP="00A62583">
            <w:pPr>
              <w:jc w:val="right"/>
            </w:pPr>
            <w:r>
              <w:t xml:space="preserve">By: </w:t>
            </w:r>
            <w:r w:rsidR="00BB427B">
              <w:t>Darby</w:t>
            </w:r>
          </w:p>
        </w:tc>
      </w:tr>
      <w:tr w:rsidR="00DE5C8C" w14:paraId="6E2F1D5F" w14:textId="77777777" w:rsidTr="00345119">
        <w:tc>
          <w:tcPr>
            <w:tcW w:w="9576" w:type="dxa"/>
          </w:tcPr>
          <w:p w14:paraId="393CD7C9" w14:textId="2ACBFBB9" w:rsidR="008423E4" w:rsidRPr="00861995" w:rsidRDefault="004D4646" w:rsidP="00A62583">
            <w:pPr>
              <w:jc w:val="right"/>
            </w:pPr>
            <w:r>
              <w:t>Energy Resources</w:t>
            </w:r>
          </w:p>
        </w:tc>
      </w:tr>
      <w:tr w:rsidR="00DE5C8C" w14:paraId="6C8718CC" w14:textId="77777777" w:rsidTr="00345119">
        <w:tc>
          <w:tcPr>
            <w:tcW w:w="9576" w:type="dxa"/>
          </w:tcPr>
          <w:p w14:paraId="2086C02C" w14:textId="57B98AE1" w:rsidR="008423E4" w:rsidRDefault="004D4646" w:rsidP="00A62583">
            <w:pPr>
              <w:jc w:val="right"/>
            </w:pPr>
            <w:r>
              <w:t>Committee Report (Substituted)</w:t>
            </w:r>
          </w:p>
        </w:tc>
      </w:tr>
    </w:tbl>
    <w:p w14:paraId="15CF2886" w14:textId="77777777" w:rsidR="008423E4" w:rsidRDefault="008423E4" w:rsidP="00A62583">
      <w:pPr>
        <w:tabs>
          <w:tab w:val="right" w:pos="9360"/>
        </w:tabs>
      </w:pPr>
    </w:p>
    <w:p w14:paraId="47524B0F" w14:textId="77777777" w:rsidR="008423E4" w:rsidRDefault="008423E4" w:rsidP="00A62583"/>
    <w:p w14:paraId="3B1668FF" w14:textId="77777777" w:rsidR="008423E4" w:rsidRDefault="008423E4" w:rsidP="00A6258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E5C8C" w14:paraId="574251A6" w14:textId="77777777" w:rsidTr="00345119">
        <w:tc>
          <w:tcPr>
            <w:tcW w:w="9576" w:type="dxa"/>
          </w:tcPr>
          <w:p w14:paraId="65C6E3B7" w14:textId="77777777" w:rsidR="008423E4" w:rsidRPr="00A8133F" w:rsidRDefault="004D4646" w:rsidP="00A625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1ABE99" w14:textId="77777777" w:rsidR="008423E4" w:rsidRDefault="008423E4" w:rsidP="00A62583"/>
          <w:p w14:paraId="67C9735D" w14:textId="4B6344D8" w:rsidR="00DD6872" w:rsidRDefault="004D4646" w:rsidP="00A62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 legislation</w:t>
            </w:r>
            <w:r w:rsidRPr="00DD6872">
              <w:t xml:space="preserve"> provided a tort liability shield for oil and gas operators who transfer their waste drill cuttings to a person who holds a recycling permit with the contractual understanding that the drill cuttings </w:t>
            </w:r>
            <w:r w:rsidR="006567C0">
              <w:t xml:space="preserve">will </w:t>
            </w:r>
            <w:r w:rsidRPr="00DD6872">
              <w:t>be recycled for road building or another beneficial</w:t>
            </w:r>
            <w:r w:rsidRPr="00DD6872">
              <w:t xml:space="preserve"> use. Under current law and current markets</w:t>
            </w:r>
            <w:r w:rsidR="00873946">
              <w:t>,</w:t>
            </w:r>
            <w:r w:rsidRPr="00DD6872">
              <w:t xml:space="preserve"> </w:t>
            </w:r>
            <w:r>
              <w:t xml:space="preserve">however, </w:t>
            </w:r>
            <w:r w:rsidRPr="00DD6872">
              <w:t>the extent to which the tort liability shield is applicable is questionable and clarification is needed</w:t>
            </w:r>
            <w:r>
              <w:t xml:space="preserve"> with regard to the ancillary </w:t>
            </w:r>
            <w:r w:rsidRPr="00DD6872">
              <w:t xml:space="preserve">disposal </w:t>
            </w:r>
            <w:r>
              <w:t>of the transferred drill cuttings</w:t>
            </w:r>
            <w:r w:rsidR="00A13094">
              <w:t xml:space="preserve">. It has been noted that </w:t>
            </w:r>
            <w:r w:rsidRPr="00DD6872">
              <w:t>th</w:t>
            </w:r>
            <w:r w:rsidRPr="00DD6872">
              <w:t xml:space="preserve">e intent of </w:t>
            </w:r>
            <w:r w:rsidR="00A13094">
              <w:t>the</w:t>
            </w:r>
            <w:r w:rsidR="006567C0">
              <w:t xml:space="preserve"> original</w:t>
            </w:r>
            <w:r w:rsidR="00A13094">
              <w:t xml:space="preserve"> legislation</w:t>
            </w:r>
            <w:r w:rsidRPr="00DD6872">
              <w:t xml:space="preserve"> was to have the tort liability shield apply when operators transfer </w:t>
            </w:r>
            <w:r w:rsidR="00A13094">
              <w:t xml:space="preserve">drill </w:t>
            </w:r>
            <w:r w:rsidRPr="00DD6872">
              <w:t>cuttings and waste for commercial recycling or disposal.</w:t>
            </w:r>
            <w:r w:rsidR="006567C0">
              <w:t xml:space="preserve"> C.S.</w:t>
            </w:r>
            <w:r w:rsidRPr="00DD6872">
              <w:t>H.B. 964</w:t>
            </w:r>
            <w:r w:rsidR="00A13094">
              <w:t xml:space="preserve"> seeks to address this issue by revising the applicable tort liability shield provisions.</w:t>
            </w:r>
          </w:p>
          <w:p w14:paraId="3F73C466" w14:textId="77777777" w:rsidR="008423E4" w:rsidRPr="00E26B13" w:rsidRDefault="008423E4" w:rsidP="00A62583">
            <w:pPr>
              <w:rPr>
                <w:b/>
              </w:rPr>
            </w:pPr>
          </w:p>
        </w:tc>
      </w:tr>
      <w:tr w:rsidR="00DE5C8C" w14:paraId="464C074D" w14:textId="77777777" w:rsidTr="00345119">
        <w:tc>
          <w:tcPr>
            <w:tcW w:w="9576" w:type="dxa"/>
          </w:tcPr>
          <w:p w14:paraId="264329EB" w14:textId="77777777" w:rsidR="0017725B" w:rsidRDefault="004D4646" w:rsidP="00A625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ABE353" w14:textId="77777777" w:rsidR="0017725B" w:rsidRDefault="0017725B" w:rsidP="00A62583">
            <w:pPr>
              <w:rPr>
                <w:b/>
                <w:u w:val="single"/>
              </w:rPr>
            </w:pPr>
          </w:p>
          <w:p w14:paraId="523CE7E1" w14:textId="77777777" w:rsidR="00A66814" w:rsidRPr="00A66814" w:rsidRDefault="004D4646" w:rsidP="00A6258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05987EFB" w14:textId="77777777" w:rsidR="0017725B" w:rsidRPr="0017725B" w:rsidRDefault="0017725B" w:rsidP="00A62583">
            <w:pPr>
              <w:rPr>
                <w:b/>
                <w:u w:val="single"/>
              </w:rPr>
            </w:pPr>
          </w:p>
        </w:tc>
      </w:tr>
      <w:tr w:rsidR="00DE5C8C" w14:paraId="286B77A5" w14:textId="77777777" w:rsidTr="00345119">
        <w:tc>
          <w:tcPr>
            <w:tcW w:w="9576" w:type="dxa"/>
          </w:tcPr>
          <w:p w14:paraId="6DC0DD93" w14:textId="77777777" w:rsidR="008423E4" w:rsidRPr="00A8133F" w:rsidRDefault="004D4646" w:rsidP="00A625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0150FB" w14:textId="77777777" w:rsidR="008423E4" w:rsidRDefault="008423E4" w:rsidP="00A62583"/>
          <w:p w14:paraId="1C8C7B56" w14:textId="77777777" w:rsidR="00A66814" w:rsidRDefault="004D4646" w:rsidP="00A62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4645707" w14:textId="77777777" w:rsidR="008423E4" w:rsidRPr="00E21FDC" w:rsidRDefault="008423E4" w:rsidP="00A62583">
            <w:pPr>
              <w:rPr>
                <w:b/>
              </w:rPr>
            </w:pPr>
          </w:p>
        </w:tc>
      </w:tr>
      <w:tr w:rsidR="00DE5C8C" w14:paraId="4A94BAE5" w14:textId="77777777" w:rsidTr="00345119">
        <w:tc>
          <w:tcPr>
            <w:tcW w:w="9576" w:type="dxa"/>
          </w:tcPr>
          <w:p w14:paraId="3DD9AF16" w14:textId="77777777" w:rsidR="008423E4" w:rsidRPr="00A8133F" w:rsidRDefault="004D4646" w:rsidP="00A625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1EB708" w14:textId="77777777" w:rsidR="008423E4" w:rsidRDefault="008423E4" w:rsidP="00A62583"/>
          <w:p w14:paraId="5CC8ED65" w14:textId="185E1E8B" w:rsidR="00487D93" w:rsidRDefault="004D4646" w:rsidP="00A62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87383">
              <w:t xml:space="preserve">H.B. 964 amends the </w:t>
            </w:r>
            <w:r w:rsidR="00D87383" w:rsidRPr="00D87383">
              <w:t>Natural Resources Code</w:t>
            </w:r>
            <w:r w:rsidR="00D87383">
              <w:t xml:space="preserve"> to </w:t>
            </w:r>
            <w:r w:rsidR="00F955C9">
              <w:t>remove a provision that exempts a</w:t>
            </w:r>
            <w:r w:rsidR="00F955C9" w:rsidRPr="00F955C9">
              <w:t xml:space="preserve"> person who generates drill cuttings and transfers the drill cuttings to a permit holder with the contractual understanding that the drill cuttings will be used in connection with road building or another beneficial use </w:t>
            </w:r>
            <w:r w:rsidR="00F955C9">
              <w:t>from</w:t>
            </w:r>
            <w:r w:rsidR="00F955C9" w:rsidRPr="00F955C9">
              <w:t xml:space="preserve"> liab</w:t>
            </w:r>
            <w:r w:rsidR="00F955C9">
              <w:t>i</w:t>
            </w:r>
            <w:r w:rsidR="00F955C9" w:rsidRPr="00F955C9">
              <w:t>l</w:t>
            </w:r>
            <w:r w:rsidR="00F955C9">
              <w:t>ity</w:t>
            </w:r>
            <w:r w:rsidR="00F955C9" w:rsidRPr="00F955C9">
              <w:t xml:space="preserve"> in tort for a consequence of the subsequent use of the drill cuttings by the permit holder or by another person.</w:t>
            </w:r>
            <w:r>
              <w:t xml:space="preserve"> The bill replaces that provision with a provision that, u</w:t>
            </w:r>
            <w:r w:rsidRPr="00487D93">
              <w:t>nless otherwise provided by a contract or other written agreement,</w:t>
            </w:r>
            <w:r>
              <w:t xml:space="preserve"> exempts a person who generates drill cuttings a</w:t>
            </w:r>
            <w:r>
              <w:t>nd transfers the drill cuttings in an arm's length transaction to an unaffiliated third-party permit holder under a contract that requires that the drill cuttings be used in connection with road building or another beneficial use or disposed of from liabil</w:t>
            </w:r>
            <w:r>
              <w:t>ity in tort for a consequence of the subsequent use or disposal of the drill cuttings by the permit holder or by another person under the following conditions:</w:t>
            </w:r>
          </w:p>
          <w:p w14:paraId="1FE1CEE8" w14:textId="3A4845D5" w:rsidR="00487D93" w:rsidRDefault="004D4646" w:rsidP="00A6258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person who generates the drill cuttings has the legal and contractual right to transfer the </w:t>
            </w:r>
            <w:r>
              <w:t>drill cuttings to the permit holder;</w:t>
            </w:r>
          </w:p>
          <w:p w14:paraId="7A6C6F5D" w14:textId="05688DD0" w:rsidR="00487D93" w:rsidRDefault="004D4646" w:rsidP="00A6258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method and location of the use or disposal are not prohibited by law, contract, or other written agreement; and</w:t>
            </w:r>
          </w:p>
          <w:p w14:paraId="717E2EE7" w14:textId="17150EFA" w:rsidR="00487D93" w:rsidRDefault="004D4646" w:rsidP="00A625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consequence was caused solely by the permit holder.</w:t>
            </w:r>
          </w:p>
          <w:p w14:paraId="31D2346D" w14:textId="77777777" w:rsidR="00F955C9" w:rsidRDefault="00F955C9" w:rsidP="00A62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609828" w14:textId="67BEEFE8" w:rsidR="009C36CD" w:rsidRDefault="004D4646" w:rsidP="00A62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7D93">
              <w:t xml:space="preserve">C.S.H.B. 964 </w:t>
            </w:r>
            <w:r w:rsidR="004900F2">
              <w:t xml:space="preserve">includes as a permit holder for purposes of provisions relating to the </w:t>
            </w:r>
            <w:r w:rsidR="004900F2" w:rsidRPr="004900F2">
              <w:t>treatment and recycling for beneficial use of drill cuttings</w:t>
            </w:r>
            <w:r w:rsidR="004900F2">
              <w:t xml:space="preserve"> </w:t>
            </w:r>
            <w:r w:rsidR="004900F2" w:rsidRPr="004900F2">
              <w:t xml:space="preserve">a person who holds a permit from the Railroad Commission of Texas to operate </w:t>
            </w:r>
            <w:r w:rsidR="00D409AA">
              <w:t>a commercial</w:t>
            </w:r>
            <w:r w:rsidR="004900F2" w:rsidRPr="004900F2">
              <w:t xml:space="preserve"> oil and gas waste disposal facility</w:t>
            </w:r>
            <w:r w:rsidR="00911131">
              <w:t>. The bill</w:t>
            </w:r>
            <w:r w:rsidR="004900F2">
              <w:t xml:space="preserve"> includes as drill cuttings </w:t>
            </w:r>
            <w:r w:rsidR="004900F2" w:rsidRPr="004900F2">
              <w:t>any</w:t>
            </w:r>
            <w:r w:rsidR="004900F2">
              <w:t xml:space="preserve"> </w:t>
            </w:r>
            <w:r w:rsidR="004900F2" w:rsidRPr="004900F2">
              <w:t>associated sand, silt, drilling fluid, spent completion fluid, workover fluid, debris, water, brine, oil scum, paraffin, or other material cleaned out of the wellbore</w:t>
            </w:r>
            <w:r w:rsidR="004900F2">
              <w:t>.</w:t>
            </w:r>
          </w:p>
          <w:p w14:paraId="10B9FFBD" w14:textId="77777777" w:rsidR="008423E4" w:rsidRPr="00835628" w:rsidRDefault="008423E4" w:rsidP="00A62583">
            <w:pPr>
              <w:rPr>
                <w:b/>
              </w:rPr>
            </w:pPr>
          </w:p>
        </w:tc>
      </w:tr>
      <w:tr w:rsidR="00DE5C8C" w14:paraId="74A82F3B" w14:textId="77777777" w:rsidTr="00345119">
        <w:tc>
          <w:tcPr>
            <w:tcW w:w="9576" w:type="dxa"/>
          </w:tcPr>
          <w:p w14:paraId="46D2B6BD" w14:textId="77777777" w:rsidR="008423E4" w:rsidRPr="00A8133F" w:rsidRDefault="004D4646" w:rsidP="00A625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B93872" w14:textId="77777777" w:rsidR="008423E4" w:rsidRDefault="008423E4" w:rsidP="00A62583"/>
          <w:p w14:paraId="08B72158" w14:textId="77777777" w:rsidR="008423E4" w:rsidRPr="003624F2" w:rsidRDefault="004D4646" w:rsidP="00A625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2021.</w:t>
            </w:r>
          </w:p>
          <w:p w14:paraId="7486DBB9" w14:textId="77777777" w:rsidR="008423E4" w:rsidRPr="00233FDB" w:rsidRDefault="008423E4" w:rsidP="00A62583">
            <w:pPr>
              <w:rPr>
                <w:b/>
              </w:rPr>
            </w:pPr>
          </w:p>
        </w:tc>
      </w:tr>
      <w:tr w:rsidR="00DE5C8C" w14:paraId="3398AC9D" w14:textId="77777777" w:rsidTr="00345119">
        <w:tc>
          <w:tcPr>
            <w:tcW w:w="9576" w:type="dxa"/>
          </w:tcPr>
          <w:p w14:paraId="46DB90E4" w14:textId="77777777" w:rsidR="00BB427B" w:rsidRDefault="004D4646" w:rsidP="00A625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1398F2F" w14:textId="77777777" w:rsidR="00905F36" w:rsidRDefault="00905F36" w:rsidP="00A62583">
            <w:pPr>
              <w:jc w:val="both"/>
            </w:pPr>
          </w:p>
          <w:p w14:paraId="0706ABBA" w14:textId="7183D74C" w:rsidR="00905F36" w:rsidRDefault="004D4646" w:rsidP="00A62583">
            <w:pPr>
              <w:jc w:val="both"/>
            </w:pPr>
            <w:r>
              <w:t>While C.S.H.B. 964 may differ from the original in minor or nonsubstantive ways, the following summarizes the substantial differences between the introduced and committee substitute versions</w:t>
            </w:r>
            <w:r>
              <w:t xml:space="preserve"> of the bill.</w:t>
            </w:r>
          </w:p>
          <w:p w14:paraId="72DAD092" w14:textId="442A58B0" w:rsidR="00905F36" w:rsidRDefault="00905F36" w:rsidP="00A62583">
            <w:pPr>
              <w:jc w:val="both"/>
            </w:pPr>
          </w:p>
          <w:p w14:paraId="2799232B" w14:textId="7051ECAA" w:rsidR="008712DC" w:rsidRDefault="008712DC" w:rsidP="00A62583">
            <w:pPr>
              <w:jc w:val="both"/>
            </w:pPr>
          </w:p>
          <w:p w14:paraId="26549BBD" w14:textId="77777777" w:rsidR="00BF590C" w:rsidRDefault="004D4646" w:rsidP="00A62583">
            <w:pPr>
              <w:jc w:val="both"/>
            </w:pPr>
            <w:r>
              <w:t xml:space="preserve">The substitute specifies that the </w:t>
            </w:r>
            <w:r w:rsidRPr="008712DC">
              <w:t>oil and gas waste disposal facility</w:t>
            </w:r>
            <w:r>
              <w:t xml:space="preserve"> for which a person who holds an operating permit is considered a permit holder is a commercial </w:t>
            </w:r>
            <w:r w:rsidRPr="00BF590C">
              <w:t>oil and gas waste disposal facility</w:t>
            </w:r>
            <w:r>
              <w:t>.</w:t>
            </w:r>
          </w:p>
          <w:p w14:paraId="0739E6A5" w14:textId="77777777" w:rsidR="00BF590C" w:rsidRDefault="00BF590C" w:rsidP="00A62583">
            <w:pPr>
              <w:jc w:val="both"/>
            </w:pPr>
          </w:p>
          <w:p w14:paraId="441028C2" w14:textId="77777777" w:rsidR="00265448" w:rsidRDefault="004D4646" w:rsidP="00A62583">
            <w:pPr>
              <w:jc w:val="both"/>
            </w:pPr>
            <w:r>
              <w:t>The substitute includes language revi</w:t>
            </w:r>
            <w:r>
              <w:t>sing responsibility in tort provisions relating to the following:</w:t>
            </w:r>
          </w:p>
          <w:p w14:paraId="402ADA50" w14:textId="1CC2F7A8" w:rsidR="00265448" w:rsidRDefault="004D4646" w:rsidP="00A6258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an exception to the liability exemption;</w:t>
            </w:r>
          </w:p>
          <w:p w14:paraId="7EA3A2FF" w14:textId="4F462475" w:rsidR="00265448" w:rsidRDefault="004D4646" w:rsidP="00A6258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type of transaction for the transfer of the drill cuttings;</w:t>
            </w:r>
          </w:p>
          <w:p w14:paraId="50F176CB" w14:textId="5CA13D70" w:rsidR="00265448" w:rsidRDefault="004D4646" w:rsidP="00A6258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type of permit holder who is the recipient of the drill cuttings;</w:t>
            </w:r>
          </w:p>
          <w:p w14:paraId="30BED75E" w14:textId="6C152313" w:rsidR="00265448" w:rsidRDefault="004D4646" w:rsidP="00A6258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contractual und</w:t>
            </w:r>
            <w:r>
              <w:t>erstanding regarding the use of the drill cuttings; and</w:t>
            </w:r>
          </w:p>
          <w:p w14:paraId="295D49BC" w14:textId="13E54B75" w:rsidR="009F30ED" w:rsidRDefault="004D4646" w:rsidP="00A6258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conditions under which the liability exemption applies.</w:t>
            </w:r>
          </w:p>
          <w:p w14:paraId="0DCEEF73" w14:textId="7F06BA6D" w:rsidR="008712DC" w:rsidRDefault="004D4646" w:rsidP="00A62583">
            <w:pPr>
              <w:jc w:val="both"/>
            </w:pPr>
            <w:r>
              <w:t xml:space="preserve">  </w:t>
            </w:r>
          </w:p>
          <w:p w14:paraId="779894FD" w14:textId="404A0627" w:rsidR="00905F36" w:rsidRPr="00905F36" w:rsidRDefault="00905F36" w:rsidP="00A62583">
            <w:pPr>
              <w:jc w:val="both"/>
            </w:pPr>
          </w:p>
        </w:tc>
      </w:tr>
      <w:tr w:rsidR="00DE5C8C" w14:paraId="55FA6570" w14:textId="77777777" w:rsidTr="00345119">
        <w:tc>
          <w:tcPr>
            <w:tcW w:w="9576" w:type="dxa"/>
          </w:tcPr>
          <w:p w14:paraId="233F6215" w14:textId="77777777" w:rsidR="00BB427B" w:rsidRDefault="00BB427B" w:rsidP="00A62583">
            <w:pPr>
              <w:rPr>
                <w:b/>
                <w:u w:val="single"/>
              </w:rPr>
            </w:pPr>
          </w:p>
          <w:p w14:paraId="14C49E52" w14:textId="5C0ABE9D" w:rsidR="008712DC" w:rsidRPr="009C1E9A" w:rsidRDefault="008712DC" w:rsidP="00A62583">
            <w:pPr>
              <w:rPr>
                <w:b/>
                <w:u w:val="single"/>
              </w:rPr>
            </w:pPr>
          </w:p>
        </w:tc>
      </w:tr>
      <w:tr w:rsidR="00DE5C8C" w14:paraId="65443A07" w14:textId="77777777" w:rsidTr="00345119">
        <w:tc>
          <w:tcPr>
            <w:tcW w:w="9576" w:type="dxa"/>
          </w:tcPr>
          <w:p w14:paraId="7A3F30E8" w14:textId="77777777" w:rsidR="00BB427B" w:rsidRPr="00BB427B" w:rsidRDefault="00BB427B" w:rsidP="00A62583">
            <w:pPr>
              <w:jc w:val="both"/>
            </w:pPr>
          </w:p>
        </w:tc>
      </w:tr>
    </w:tbl>
    <w:p w14:paraId="7328E158" w14:textId="77777777" w:rsidR="008423E4" w:rsidRPr="00BE0E75" w:rsidRDefault="008423E4" w:rsidP="00A62583">
      <w:pPr>
        <w:jc w:val="both"/>
        <w:rPr>
          <w:rFonts w:ascii="Arial" w:hAnsi="Arial"/>
          <w:sz w:val="16"/>
          <w:szCs w:val="16"/>
        </w:rPr>
      </w:pPr>
    </w:p>
    <w:p w14:paraId="0259D101" w14:textId="77777777" w:rsidR="004108C3" w:rsidRPr="008423E4" w:rsidRDefault="004108C3" w:rsidP="00A6258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70CD" w14:textId="77777777" w:rsidR="00000000" w:rsidRDefault="004D4646">
      <w:r>
        <w:separator/>
      </w:r>
    </w:p>
  </w:endnote>
  <w:endnote w:type="continuationSeparator" w:id="0">
    <w:p w14:paraId="10CBB249" w14:textId="77777777" w:rsidR="00000000" w:rsidRDefault="004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F3C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5C8C" w14:paraId="40594142" w14:textId="77777777" w:rsidTr="009C1E9A">
      <w:trPr>
        <w:cantSplit/>
      </w:trPr>
      <w:tc>
        <w:tcPr>
          <w:tcW w:w="0" w:type="pct"/>
        </w:tcPr>
        <w:p w14:paraId="3CFC78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A38D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89027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302D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45D0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C8C" w14:paraId="54E33FF3" w14:textId="77777777" w:rsidTr="009C1E9A">
      <w:trPr>
        <w:cantSplit/>
      </w:trPr>
      <w:tc>
        <w:tcPr>
          <w:tcW w:w="0" w:type="pct"/>
        </w:tcPr>
        <w:p w14:paraId="3B2957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03DBCE" w14:textId="7F3E49E1" w:rsidR="00EC379B" w:rsidRPr="009C1E9A" w:rsidRDefault="004D46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17154</w:t>
          </w:r>
        </w:p>
      </w:tc>
      <w:tc>
        <w:tcPr>
          <w:tcW w:w="2453" w:type="pct"/>
        </w:tcPr>
        <w:p w14:paraId="7B144D37" w14:textId="4C0914EB" w:rsidR="00EC379B" w:rsidRDefault="004D46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913F8">
            <w:t>21.85.237</w:t>
          </w:r>
          <w:r>
            <w:fldChar w:fldCharType="end"/>
          </w:r>
        </w:p>
      </w:tc>
    </w:tr>
    <w:tr w:rsidR="00DE5C8C" w14:paraId="57EB2392" w14:textId="77777777" w:rsidTr="009C1E9A">
      <w:trPr>
        <w:cantSplit/>
      </w:trPr>
      <w:tc>
        <w:tcPr>
          <w:tcW w:w="0" w:type="pct"/>
        </w:tcPr>
        <w:p w14:paraId="2D19289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37F8FC" w14:textId="643245BC" w:rsidR="00EC379B" w:rsidRPr="009C1E9A" w:rsidRDefault="004D46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16120</w:t>
          </w:r>
        </w:p>
      </w:tc>
      <w:tc>
        <w:tcPr>
          <w:tcW w:w="2453" w:type="pct"/>
        </w:tcPr>
        <w:p w14:paraId="3357AF3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EAB3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C8C" w14:paraId="0A4C27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C06DE7" w14:textId="069CA992" w:rsidR="00EC379B" w:rsidRDefault="004D46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913F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453D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9082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69E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1120" w14:textId="77777777" w:rsidR="00000000" w:rsidRDefault="004D4646">
      <w:r>
        <w:separator/>
      </w:r>
    </w:p>
  </w:footnote>
  <w:footnote w:type="continuationSeparator" w:id="0">
    <w:p w14:paraId="3012AF85" w14:textId="77777777" w:rsidR="00000000" w:rsidRDefault="004D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65C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E0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147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56E"/>
    <w:multiLevelType w:val="hybridMultilevel"/>
    <w:tmpl w:val="189EC640"/>
    <w:lvl w:ilvl="0" w:tplc="D466040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4562E52" w:tentative="1">
      <w:start w:val="1"/>
      <w:numFmt w:val="lowerLetter"/>
      <w:lvlText w:val="%2."/>
      <w:lvlJc w:val="left"/>
      <w:pPr>
        <w:ind w:left="1440" w:hanging="360"/>
      </w:pPr>
    </w:lvl>
    <w:lvl w:ilvl="2" w:tplc="65D4146C" w:tentative="1">
      <w:start w:val="1"/>
      <w:numFmt w:val="lowerRoman"/>
      <w:lvlText w:val="%3."/>
      <w:lvlJc w:val="right"/>
      <w:pPr>
        <w:ind w:left="2160" w:hanging="180"/>
      </w:pPr>
    </w:lvl>
    <w:lvl w:ilvl="3" w:tplc="E7681CC4" w:tentative="1">
      <w:start w:val="1"/>
      <w:numFmt w:val="decimal"/>
      <w:lvlText w:val="%4."/>
      <w:lvlJc w:val="left"/>
      <w:pPr>
        <w:ind w:left="2880" w:hanging="360"/>
      </w:pPr>
    </w:lvl>
    <w:lvl w:ilvl="4" w:tplc="D7683662" w:tentative="1">
      <w:start w:val="1"/>
      <w:numFmt w:val="lowerLetter"/>
      <w:lvlText w:val="%5."/>
      <w:lvlJc w:val="left"/>
      <w:pPr>
        <w:ind w:left="3600" w:hanging="360"/>
      </w:pPr>
    </w:lvl>
    <w:lvl w:ilvl="5" w:tplc="A8CE771C" w:tentative="1">
      <w:start w:val="1"/>
      <w:numFmt w:val="lowerRoman"/>
      <w:lvlText w:val="%6."/>
      <w:lvlJc w:val="right"/>
      <w:pPr>
        <w:ind w:left="4320" w:hanging="180"/>
      </w:pPr>
    </w:lvl>
    <w:lvl w:ilvl="6" w:tplc="E3247AC0" w:tentative="1">
      <w:start w:val="1"/>
      <w:numFmt w:val="decimal"/>
      <w:lvlText w:val="%7."/>
      <w:lvlJc w:val="left"/>
      <w:pPr>
        <w:ind w:left="5040" w:hanging="360"/>
      </w:pPr>
    </w:lvl>
    <w:lvl w:ilvl="7" w:tplc="9A78625E" w:tentative="1">
      <w:start w:val="1"/>
      <w:numFmt w:val="lowerLetter"/>
      <w:lvlText w:val="%8."/>
      <w:lvlJc w:val="left"/>
      <w:pPr>
        <w:ind w:left="5760" w:hanging="360"/>
      </w:pPr>
    </w:lvl>
    <w:lvl w:ilvl="8" w:tplc="28C2E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D30"/>
    <w:multiLevelType w:val="hybridMultilevel"/>
    <w:tmpl w:val="FF340A4A"/>
    <w:lvl w:ilvl="0" w:tplc="C8364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6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6C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1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23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48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8D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AE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89D"/>
    <w:multiLevelType w:val="hybridMultilevel"/>
    <w:tmpl w:val="D79E597C"/>
    <w:lvl w:ilvl="0" w:tplc="D4101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84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4C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4A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5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6F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CA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83"/>
    <w:rsid w:val="00000A70"/>
    <w:rsid w:val="000032B8"/>
    <w:rsid w:val="00003B06"/>
    <w:rsid w:val="000054B9"/>
    <w:rsid w:val="00007461"/>
    <w:rsid w:val="00010C15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448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2E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97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9A0"/>
    <w:rsid w:val="0031741B"/>
    <w:rsid w:val="00321337"/>
    <w:rsid w:val="00321F2F"/>
    <w:rsid w:val="003237F6"/>
    <w:rsid w:val="00324077"/>
    <w:rsid w:val="0032453B"/>
    <w:rsid w:val="00324868"/>
    <w:rsid w:val="003305F5"/>
    <w:rsid w:val="0033339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1D4"/>
    <w:rsid w:val="003D726D"/>
    <w:rsid w:val="003E0875"/>
    <w:rsid w:val="003E0BB8"/>
    <w:rsid w:val="003E6CB0"/>
    <w:rsid w:val="003F14DC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D93"/>
    <w:rsid w:val="004900F2"/>
    <w:rsid w:val="004913F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646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78A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96F"/>
    <w:rsid w:val="00592C9A"/>
    <w:rsid w:val="00593DF8"/>
    <w:rsid w:val="00595745"/>
    <w:rsid w:val="005A0E18"/>
    <w:rsid w:val="005A12A5"/>
    <w:rsid w:val="005A3790"/>
    <w:rsid w:val="005A3CCB"/>
    <w:rsid w:val="005A5E2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1CED"/>
    <w:rsid w:val="00645750"/>
    <w:rsid w:val="00650692"/>
    <w:rsid w:val="006508D3"/>
    <w:rsid w:val="00650AFA"/>
    <w:rsid w:val="006567C0"/>
    <w:rsid w:val="00662B77"/>
    <w:rsid w:val="00662D0E"/>
    <w:rsid w:val="00663265"/>
    <w:rsid w:val="0066345F"/>
    <w:rsid w:val="0066485B"/>
    <w:rsid w:val="0067036E"/>
    <w:rsid w:val="00671693"/>
    <w:rsid w:val="006757AA"/>
    <w:rsid w:val="00677FC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324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42E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2DC"/>
    <w:rsid w:val="00871775"/>
    <w:rsid w:val="00871AEF"/>
    <w:rsid w:val="008726E5"/>
    <w:rsid w:val="0087289E"/>
    <w:rsid w:val="00873946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7A7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F36"/>
    <w:rsid w:val="00907780"/>
    <w:rsid w:val="00907EDD"/>
    <w:rsid w:val="009107AD"/>
    <w:rsid w:val="00911131"/>
    <w:rsid w:val="00915568"/>
    <w:rsid w:val="00917E0C"/>
    <w:rsid w:val="00920711"/>
    <w:rsid w:val="00921A1E"/>
    <w:rsid w:val="00924EA9"/>
    <w:rsid w:val="00925CE1"/>
    <w:rsid w:val="00925F5C"/>
    <w:rsid w:val="009270F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0ED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094"/>
    <w:rsid w:val="00A1446F"/>
    <w:rsid w:val="00A151B5"/>
    <w:rsid w:val="00A220FF"/>
    <w:rsid w:val="00A227E0"/>
    <w:rsid w:val="00A232E4"/>
    <w:rsid w:val="00A24AAD"/>
    <w:rsid w:val="00A26A8A"/>
    <w:rsid w:val="00A27255"/>
    <w:rsid w:val="00A300C3"/>
    <w:rsid w:val="00A32304"/>
    <w:rsid w:val="00A3420E"/>
    <w:rsid w:val="00A35D66"/>
    <w:rsid w:val="00A3794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583"/>
    <w:rsid w:val="00A6344D"/>
    <w:rsid w:val="00A644B8"/>
    <w:rsid w:val="00A66814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AEF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325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27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90C"/>
    <w:rsid w:val="00C013F4"/>
    <w:rsid w:val="00C040AB"/>
    <w:rsid w:val="00C0499B"/>
    <w:rsid w:val="00C04CCA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9AA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383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872"/>
    <w:rsid w:val="00DD7509"/>
    <w:rsid w:val="00DD79C7"/>
    <w:rsid w:val="00DD7D6E"/>
    <w:rsid w:val="00DE34B2"/>
    <w:rsid w:val="00DE49DE"/>
    <w:rsid w:val="00DE5C8C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3D6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3D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5C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D6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521BB-D443-4627-A4CB-A8F61051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73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3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383"/>
    <w:rPr>
      <w:b/>
      <w:bCs/>
    </w:rPr>
  </w:style>
  <w:style w:type="paragraph" w:styleId="Revision">
    <w:name w:val="Revision"/>
    <w:hidden/>
    <w:uiPriority w:val="99"/>
    <w:semiHidden/>
    <w:rsid w:val="00A379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3512</Characters>
  <Application>Microsoft Office Word</Application>
  <DocSecurity>4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HB00964 (Committee Report (Substituted))</vt:lpstr>
    </vt:vector>
  </TitlesOfParts>
  <Company>State of Texas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17154</dc:subject>
  <dc:creator>State of Texas</dc:creator>
  <dc:description>HB 964 by Darby-(H)Energy Resources (Substitute Document Number: 87R 16120)</dc:description>
  <cp:lastModifiedBy>Emma Bodisch</cp:lastModifiedBy>
  <cp:revision>2</cp:revision>
  <cp:lastPrinted>2003-11-26T17:21:00Z</cp:lastPrinted>
  <dcterms:created xsi:type="dcterms:W3CDTF">2021-04-15T18:35:00Z</dcterms:created>
  <dcterms:modified xsi:type="dcterms:W3CDTF">2021-04-15T18:35:00Z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21.85.237</vt:lpwstr>
  </property>
</Properties>
</file>