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3F" w:rsidRDefault="00E36C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8F66559C104196853EBF5DF789171A"/>
          </w:placeholder>
        </w:sdtPr>
        <w:sdtContent>
          <w:r w:rsidRPr="005C2A78">
            <w:rPr>
              <w:rFonts w:cs="Times New Roman"/>
              <w:b/>
              <w:szCs w:val="24"/>
              <w:u w:val="single"/>
            </w:rPr>
            <w:t>BILL ANALYSIS</w:t>
          </w:r>
        </w:sdtContent>
      </w:sdt>
    </w:p>
    <w:p w:rsidR="00E36C3F" w:rsidRPr="00585C31" w:rsidRDefault="00E36C3F" w:rsidP="000F1DF9">
      <w:pPr>
        <w:spacing w:after="0" w:line="240" w:lineRule="auto"/>
        <w:rPr>
          <w:rFonts w:cs="Times New Roman"/>
          <w:szCs w:val="24"/>
        </w:rPr>
      </w:pPr>
    </w:p>
    <w:p w:rsidR="00E36C3F" w:rsidRPr="00585C31" w:rsidRDefault="00E36C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6C3F" w:rsidTr="000F1DF9">
        <w:tc>
          <w:tcPr>
            <w:tcW w:w="2718" w:type="dxa"/>
          </w:tcPr>
          <w:p w:rsidR="00E36C3F" w:rsidRPr="005C2A78" w:rsidRDefault="00E36C3F" w:rsidP="006D756B">
            <w:pPr>
              <w:rPr>
                <w:rFonts w:cs="Times New Roman"/>
                <w:szCs w:val="24"/>
              </w:rPr>
            </w:pPr>
            <w:sdt>
              <w:sdtPr>
                <w:rPr>
                  <w:rFonts w:cs="Times New Roman"/>
                  <w:szCs w:val="24"/>
                </w:rPr>
                <w:alias w:val="Agency Title"/>
                <w:tag w:val="AgencyTitleContentControl"/>
                <w:id w:val="1920747753"/>
                <w:lock w:val="sdtContentLocked"/>
                <w:placeholder>
                  <w:docPart w:val="2432D96A42444B4EB2F6EFE71843D665"/>
                </w:placeholder>
              </w:sdtPr>
              <w:sdtEndPr>
                <w:rPr>
                  <w:rFonts w:cstheme="minorBidi"/>
                  <w:szCs w:val="22"/>
                </w:rPr>
              </w:sdtEndPr>
              <w:sdtContent>
                <w:r>
                  <w:rPr>
                    <w:rFonts w:cs="Times New Roman"/>
                    <w:szCs w:val="24"/>
                  </w:rPr>
                  <w:t>Senate Research Center</w:t>
                </w:r>
              </w:sdtContent>
            </w:sdt>
          </w:p>
        </w:tc>
        <w:tc>
          <w:tcPr>
            <w:tcW w:w="6858" w:type="dxa"/>
          </w:tcPr>
          <w:p w:rsidR="00E36C3F" w:rsidRPr="00FF6471" w:rsidRDefault="00E36C3F" w:rsidP="000F1DF9">
            <w:pPr>
              <w:jc w:val="right"/>
              <w:rPr>
                <w:rFonts w:cs="Times New Roman"/>
                <w:szCs w:val="24"/>
              </w:rPr>
            </w:pPr>
            <w:sdt>
              <w:sdtPr>
                <w:rPr>
                  <w:rFonts w:cs="Times New Roman"/>
                  <w:szCs w:val="24"/>
                </w:rPr>
                <w:alias w:val="Bill Number"/>
                <w:tag w:val="BillNumberOne"/>
                <w:id w:val="-410784069"/>
                <w:lock w:val="sdtContentLocked"/>
                <w:placeholder>
                  <w:docPart w:val="616C6A5B64B7473FAABAE0458A7BD193"/>
                </w:placeholder>
              </w:sdtPr>
              <w:sdtContent>
                <w:r>
                  <w:rPr>
                    <w:rFonts w:cs="Times New Roman"/>
                    <w:szCs w:val="24"/>
                  </w:rPr>
                  <w:t>H.B. 1012</w:t>
                </w:r>
              </w:sdtContent>
            </w:sdt>
          </w:p>
        </w:tc>
      </w:tr>
      <w:tr w:rsidR="00E36C3F" w:rsidTr="000F1DF9">
        <w:sdt>
          <w:sdtPr>
            <w:rPr>
              <w:rFonts w:cs="Times New Roman"/>
              <w:szCs w:val="24"/>
            </w:rPr>
            <w:alias w:val="TLCNumber"/>
            <w:tag w:val="TLCNumber"/>
            <w:id w:val="-542600604"/>
            <w:lock w:val="sdtLocked"/>
            <w:placeholder>
              <w:docPart w:val="A4E6971E26AC405394E32402D96E1163"/>
            </w:placeholder>
          </w:sdtPr>
          <w:sdtContent>
            <w:tc>
              <w:tcPr>
                <w:tcW w:w="2718" w:type="dxa"/>
              </w:tcPr>
              <w:p w:rsidR="00E36C3F" w:rsidRPr="00626850" w:rsidRDefault="00E36C3F" w:rsidP="00C65088">
                <w:r>
                  <w:rPr>
                    <w:noProof/>
                  </w:rPr>
                  <w:t>87R680 BEE-F</w:t>
                </w:r>
              </w:p>
            </w:tc>
          </w:sdtContent>
        </w:sdt>
        <w:tc>
          <w:tcPr>
            <w:tcW w:w="6858" w:type="dxa"/>
          </w:tcPr>
          <w:p w:rsidR="00E36C3F" w:rsidRPr="005C2A78" w:rsidRDefault="00E36C3F" w:rsidP="00073EDD">
            <w:pPr>
              <w:jc w:val="right"/>
              <w:rPr>
                <w:rFonts w:cs="Times New Roman"/>
                <w:szCs w:val="24"/>
              </w:rPr>
            </w:pPr>
            <w:sdt>
              <w:sdtPr>
                <w:rPr>
                  <w:rFonts w:cs="Times New Roman"/>
                  <w:szCs w:val="24"/>
                </w:rPr>
                <w:alias w:val="Author Label"/>
                <w:tag w:val="By"/>
                <w:id w:val="72399597"/>
                <w:lock w:val="sdtLocked"/>
                <w:placeholder>
                  <w:docPart w:val="E6A9293461984C6DA6E7758EFE0F58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816E2EB31F4B5BB2F290321B975ED9"/>
                </w:placeholder>
              </w:sdtPr>
              <w:sdtContent>
                <w:r>
                  <w:rPr>
                    <w:rFonts w:cs="Times New Roman"/>
                    <w:szCs w:val="24"/>
                  </w:rPr>
                  <w:t>Dutton et al.</w:t>
                </w:r>
              </w:sdtContent>
            </w:sdt>
            <w:sdt>
              <w:sdtPr>
                <w:rPr>
                  <w:rFonts w:cs="Times New Roman"/>
                  <w:szCs w:val="24"/>
                </w:rPr>
                <w:alias w:val="Sponsor"/>
                <w:tag w:val="Sponsor"/>
                <w:id w:val="-2039656131"/>
                <w:lock w:val="sdtContentLocked"/>
                <w:placeholder>
                  <w:docPart w:val="36B523EDCC4641B8ACD82712810A9F2B"/>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899928868DED4A5F92F0396088049020"/>
                </w:placeholder>
                <w:showingPlcHdr/>
              </w:sdtPr>
              <w:sdtContent/>
            </w:sdt>
          </w:p>
        </w:tc>
      </w:tr>
      <w:tr w:rsidR="00E36C3F" w:rsidTr="000F1DF9">
        <w:tc>
          <w:tcPr>
            <w:tcW w:w="2718" w:type="dxa"/>
          </w:tcPr>
          <w:p w:rsidR="00E36C3F" w:rsidRPr="00BC7495" w:rsidRDefault="00E36C3F" w:rsidP="000F1DF9">
            <w:pPr>
              <w:rPr>
                <w:rFonts w:cs="Times New Roman"/>
                <w:szCs w:val="24"/>
              </w:rPr>
            </w:pPr>
          </w:p>
        </w:tc>
        <w:sdt>
          <w:sdtPr>
            <w:rPr>
              <w:rFonts w:cs="Times New Roman"/>
              <w:szCs w:val="24"/>
            </w:rPr>
            <w:alias w:val="Committee"/>
            <w:tag w:val="Committee"/>
            <w:id w:val="1914272295"/>
            <w:lock w:val="sdtContentLocked"/>
            <w:placeholder>
              <w:docPart w:val="7712BF1D4A0B40179FB7E79A44CAE103"/>
            </w:placeholder>
          </w:sdtPr>
          <w:sdtContent>
            <w:tc>
              <w:tcPr>
                <w:tcW w:w="6858" w:type="dxa"/>
              </w:tcPr>
              <w:p w:rsidR="00E36C3F" w:rsidRPr="00FF6471" w:rsidRDefault="00E36C3F" w:rsidP="000F1DF9">
                <w:pPr>
                  <w:jc w:val="right"/>
                  <w:rPr>
                    <w:rFonts w:cs="Times New Roman"/>
                    <w:szCs w:val="24"/>
                  </w:rPr>
                </w:pPr>
                <w:r>
                  <w:rPr>
                    <w:rFonts w:cs="Times New Roman"/>
                    <w:szCs w:val="24"/>
                  </w:rPr>
                  <w:t>Criminal Justice</w:t>
                </w:r>
              </w:p>
            </w:tc>
          </w:sdtContent>
        </w:sdt>
      </w:tr>
      <w:tr w:rsidR="00E36C3F" w:rsidTr="000F1DF9">
        <w:tc>
          <w:tcPr>
            <w:tcW w:w="2718" w:type="dxa"/>
          </w:tcPr>
          <w:p w:rsidR="00E36C3F" w:rsidRPr="00BC7495" w:rsidRDefault="00E36C3F" w:rsidP="000F1DF9">
            <w:pPr>
              <w:rPr>
                <w:rFonts w:cs="Times New Roman"/>
                <w:szCs w:val="24"/>
              </w:rPr>
            </w:pPr>
          </w:p>
        </w:tc>
        <w:sdt>
          <w:sdtPr>
            <w:rPr>
              <w:rFonts w:cs="Times New Roman"/>
              <w:szCs w:val="24"/>
            </w:rPr>
            <w:alias w:val="Date"/>
            <w:tag w:val="DateContentControl"/>
            <w:id w:val="1178081906"/>
            <w:lock w:val="sdtLocked"/>
            <w:placeholder>
              <w:docPart w:val="16C736F47F8046E084819A9AF4200D25"/>
            </w:placeholder>
            <w:date w:fullDate="2021-05-07T00:00:00Z">
              <w:dateFormat w:val="M/d/yyyy"/>
              <w:lid w:val="en-US"/>
              <w:storeMappedDataAs w:val="dateTime"/>
              <w:calendar w:val="gregorian"/>
            </w:date>
          </w:sdtPr>
          <w:sdtContent>
            <w:tc>
              <w:tcPr>
                <w:tcW w:w="6858" w:type="dxa"/>
              </w:tcPr>
              <w:p w:rsidR="00E36C3F" w:rsidRPr="00FF6471" w:rsidRDefault="00E36C3F" w:rsidP="000F1DF9">
                <w:pPr>
                  <w:jc w:val="right"/>
                  <w:rPr>
                    <w:rFonts w:cs="Times New Roman"/>
                    <w:szCs w:val="24"/>
                  </w:rPr>
                </w:pPr>
                <w:r>
                  <w:rPr>
                    <w:rFonts w:cs="Times New Roman"/>
                    <w:szCs w:val="24"/>
                  </w:rPr>
                  <w:t>5/7/2021</w:t>
                </w:r>
              </w:p>
            </w:tc>
          </w:sdtContent>
        </w:sdt>
      </w:tr>
      <w:tr w:rsidR="00E36C3F" w:rsidTr="000F1DF9">
        <w:tc>
          <w:tcPr>
            <w:tcW w:w="2718" w:type="dxa"/>
          </w:tcPr>
          <w:p w:rsidR="00E36C3F" w:rsidRPr="00BC7495" w:rsidRDefault="00E36C3F" w:rsidP="000F1DF9">
            <w:pPr>
              <w:rPr>
                <w:rFonts w:cs="Times New Roman"/>
                <w:szCs w:val="24"/>
              </w:rPr>
            </w:pPr>
          </w:p>
        </w:tc>
        <w:sdt>
          <w:sdtPr>
            <w:rPr>
              <w:rFonts w:cs="Times New Roman"/>
              <w:szCs w:val="24"/>
            </w:rPr>
            <w:alias w:val="BA Version"/>
            <w:tag w:val="BAVersion"/>
            <w:id w:val="-1685590809"/>
            <w:lock w:val="sdtContentLocked"/>
            <w:placeholder>
              <w:docPart w:val="7060E875AB4741BD8597997A44D16FE3"/>
            </w:placeholder>
          </w:sdtPr>
          <w:sdtContent>
            <w:tc>
              <w:tcPr>
                <w:tcW w:w="6858" w:type="dxa"/>
              </w:tcPr>
              <w:p w:rsidR="00E36C3F" w:rsidRPr="00FF6471" w:rsidRDefault="00E36C3F" w:rsidP="000F1DF9">
                <w:pPr>
                  <w:jc w:val="right"/>
                  <w:rPr>
                    <w:rFonts w:cs="Times New Roman"/>
                    <w:szCs w:val="24"/>
                  </w:rPr>
                </w:pPr>
                <w:r>
                  <w:rPr>
                    <w:rFonts w:cs="Times New Roman"/>
                    <w:szCs w:val="24"/>
                  </w:rPr>
                  <w:t>Engrossed</w:t>
                </w:r>
              </w:p>
            </w:tc>
          </w:sdtContent>
        </w:sdt>
      </w:tr>
    </w:tbl>
    <w:p w:rsidR="00E36C3F" w:rsidRPr="00FF6471" w:rsidRDefault="00E36C3F" w:rsidP="000F1DF9">
      <w:pPr>
        <w:spacing w:after="0" w:line="240" w:lineRule="auto"/>
        <w:rPr>
          <w:rFonts w:cs="Times New Roman"/>
          <w:szCs w:val="24"/>
        </w:rPr>
      </w:pPr>
    </w:p>
    <w:p w:rsidR="00E36C3F" w:rsidRPr="00FF6471" w:rsidRDefault="00E36C3F" w:rsidP="000F1DF9">
      <w:pPr>
        <w:spacing w:after="0" w:line="240" w:lineRule="auto"/>
        <w:rPr>
          <w:rFonts w:cs="Times New Roman"/>
          <w:szCs w:val="24"/>
        </w:rPr>
      </w:pPr>
    </w:p>
    <w:p w:rsidR="00E36C3F" w:rsidRPr="00FF6471" w:rsidRDefault="00E36C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982AD88BCF42868D0AF765CC5693B9"/>
        </w:placeholder>
      </w:sdtPr>
      <w:sdtContent>
        <w:p w:rsidR="00E36C3F" w:rsidRDefault="00E36C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323D962C1F43878528B40F5C29365B"/>
        </w:placeholder>
      </w:sdtPr>
      <w:sdtContent>
        <w:p w:rsidR="00E36C3F" w:rsidRDefault="00E36C3F" w:rsidP="00F7145C">
          <w:pPr>
            <w:pStyle w:val="NormalWeb"/>
            <w:spacing w:before="0" w:beforeAutospacing="0" w:after="0" w:afterAutospacing="0"/>
            <w:jc w:val="both"/>
            <w:divId w:val="183055214"/>
            <w:rPr>
              <w:rFonts w:eastAsia="Times New Roman"/>
              <w:bCs/>
            </w:rPr>
          </w:pPr>
        </w:p>
        <w:p w:rsidR="00E36C3F" w:rsidRPr="00CC7682" w:rsidRDefault="00E36C3F" w:rsidP="00F7145C">
          <w:pPr>
            <w:pStyle w:val="NormalWeb"/>
            <w:spacing w:before="0" w:beforeAutospacing="0" w:after="0" w:afterAutospacing="0"/>
            <w:jc w:val="both"/>
            <w:divId w:val="183055214"/>
          </w:pPr>
          <w:r w:rsidRPr="00CC7682">
            <w:t>Currently, justice courts have broad jurisdiction to issue decrees granting persons access to</w:t>
          </w:r>
          <w:r>
            <w:t xml:space="preserve"> a residence or former residence</w:t>
          </w:r>
          <w:r w:rsidRPr="00CC7682">
            <w:t xml:space="preserve"> to retrieve personal property. When the person seeking such a decree, however, is a party in an ongoing divorce proceeding, a justice court is not the appropriate venue. The court in which a suit relating to the marriage relationship is pending or the court having jurisdiction of a divorce or annulment action should have the authority to grant an individual access to a residence to retrieve specific items of personal property while accompanied by a peace officer. H.B. 1012 would grant courts hearing a dissolution of marriage case exclusive jurisdiction to grant a party in the case access to a residence or former residence to retrieve personal property.</w:t>
          </w:r>
        </w:p>
        <w:p w:rsidR="00E36C3F" w:rsidRPr="00D70925" w:rsidRDefault="00E36C3F" w:rsidP="00F7145C">
          <w:pPr>
            <w:spacing w:after="0" w:line="240" w:lineRule="auto"/>
            <w:jc w:val="both"/>
            <w:rPr>
              <w:rFonts w:eastAsia="Times New Roman" w:cs="Times New Roman"/>
              <w:bCs/>
              <w:szCs w:val="24"/>
            </w:rPr>
          </w:pPr>
        </w:p>
      </w:sdtContent>
    </w:sdt>
    <w:p w:rsidR="00E36C3F" w:rsidRDefault="00E36C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1012 </w:t>
      </w:r>
      <w:bookmarkStart w:id="1" w:name="AmendsCurrentLaw"/>
      <w:bookmarkEnd w:id="1"/>
      <w:r>
        <w:rPr>
          <w:rFonts w:cs="Times New Roman"/>
          <w:szCs w:val="24"/>
        </w:rPr>
        <w:t>amends current law relating to access to a residence or former residence to retrieve certain personal property.</w:t>
      </w:r>
    </w:p>
    <w:p w:rsidR="00E36C3F" w:rsidRPr="00626850" w:rsidRDefault="00E36C3F" w:rsidP="000F1DF9">
      <w:pPr>
        <w:spacing w:after="0" w:line="240" w:lineRule="auto"/>
        <w:jc w:val="both"/>
        <w:rPr>
          <w:rFonts w:eastAsia="Times New Roman" w:cs="Times New Roman"/>
          <w:szCs w:val="24"/>
        </w:rPr>
      </w:pPr>
    </w:p>
    <w:p w:rsidR="00E36C3F" w:rsidRPr="005C2A78" w:rsidRDefault="00E36C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0164E753094E08913F2162780BA144"/>
          </w:placeholder>
        </w:sdtPr>
        <w:sdtContent>
          <w:r>
            <w:rPr>
              <w:rFonts w:eastAsia="Times New Roman" w:cs="Times New Roman"/>
              <w:b/>
              <w:szCs w:val="24"/>
              <w:u w:val="single"/>
            </w:rPr>
            <w:t>RULEMAKING AUTHORITY</w:t>
          </w:r>
        </w:sdtContent>
      </w:sdt>
    </w:p>
    <w:p w:rsidR="00E36C3F" w:rsidRPr="006529C4" w:rsidRDefault="00E36C3F" w:rsidP="00774EC7">
      <w:pPr>
        <w:spacing w:after="0" w:line="240" w:lineRule="auto"/>
        <w:jc w:val="both"/>
        <w:rPr>
          <w:rFonts w:cs="Times New Roman"/>
          <w:szCs w:val="24"/>
        </w:rPr>
      </w:pPr>
    </w:p>
    <w:p w:rsidR="00E36C3F" w:rsidRPr="006529C4" w:rsidRDefault="00E36C3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6C3F" w:rsidRPr="006529C4" w:rsidRDefault="00E36C3F" w:rsidP="00774EC7">
      <w:pPr>
        <w:spacing w:after="0" w:line="240" w:lineRule="auto"/>
        <w:jc w:val="both"/>
        <w:rPr>
          <w:rFonts w:cs="Times New Roman"/>
          <w:szCs w:val="24"/>
        </w:rPr>
      </w:pPr>
    </w:p>
    <w:p w:rsidR="00E36C3F" w:rsidRPr="005C2A78" w:rsidRDefault="00E36C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C30112048E4643BECFC42F6EDB98D9"/>
          </w:placeholder>
        </w:sdtPr>
        <w:sdtContent>
          <w:r>
            <w:rPr>
              <w:rFonts w:eastAsia="Times New Roman" w:cs="Times New Roman"/>
              <w:b/>
              <w:szCs w:val="24"/>
              <w:u w:val="single"/>
            </w:rPr>
            <w:t>SECTION BY SECTION ANALYSIS</w:t>
          </w:r>
        </w:sdtContent>
      </w:sdt>
    </w:p>
    <w:p w:rsidR="00E36C3F" w:rsidRPr="005C2A78" w:rsidRDefault="00E36C3F" w:rsidP="00E36C3F">
      <w:pPr>
        <w:spacing w:after="0" w:line="240" w:lineRule="auto"/>
        <w:jc w:val="both"/>
        <w:rPr>
          <w:rFonts w:eastAsia="Times New Roman" w:cs="Times New Roman"/>
          <w:szCs w:val="24"/>
        </w:rPr>
      </w:pPr>
    </w:p>
    <w:p w:rsidR="00E36C3F" w:rsidRDefault="00E36C3F" w:rsidP="00E36C3F">
      <w:pPr>
        <w:tabs>
          <w:tab w:val="left" w:pos="1685"/>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26850">
        <w:rPr>
          <w:rFonts w:eastAsia="Times New Roman" w:cs="Times New Roman"/>
          <w:szCs w:val="24"/>
        </w:rPr>
        <w:t>Section 24A.002, Property Code,</w:t>
      </w:r>
      <w:r>
        <w:rPr>
          <w:rFonts w:eastAsia="Times New Roman" w:cs="Times New Roman"/>
          <w:szCs w:val="24"/>
        </w:rPr>
        <w:t xml:space="preserve"> as follows:</w:t>
      </w:r>
    </w:p>
    <w:p w:rsidR="00E36C3F" w:rsidRDefault="00E36C3F" w:rsidP="00E36C3F">
      <w:pPr>
        <w:tabs>
          <w:tab w:val="left" w:pos="1685"/>
        </w:tabs>
        <w:spacing w:after="0" w:line="240" w:lineRule="auto"/>
        <w:jc w:val="both"/>
        <w:rPr>
          <w:rFonts w:eastAsia="Times New Roman" w:cs="Times New Roman"/>
          <w:szCs w:val="24"/>
        </w:rPr>
      </w:pPr>
    </w:p>
    <w:p w:rsidR="00E36C3F" w:rsidRDefault="00E36C3F" w:rsidP="00E36C3F">
      <w:pPr>
        <w:tabs>
          <w:tab w:val="left" w:pos="1685"/>
        </w:tabs>
        <w:spacing w:after="0" w:line="240" w:lineRule="auto"/>
        <w:ind w:left="720"/>
        <w:jc w:val="both"/>
        <w:rPr>
          <w:rFonts w:eastAsia="Times New Roman" w:cs="Times New Roman"/>
          <w:szCs w:val="24"/>
        </w:rPr>
      </w:pPr>
      <w:r>
        <w:rPr>
          <w:rFonts w:eastAsia="Times New Roman" w:cs="Times New Roman"/>
          <w:szCs w:val="24"/>
        </w:rPr>
        <w:t xml:space="preserve">Sec. 24A.002. </w:t>
      </w:r>
      <w:r w:rsidRPr="00626850">
        <w:rPr>
          <w:rFonts w:eastAsia="Times New Roman" w:cs="Times New Roman"/>
          <w:szCs w:val="24"/>
        </w:rPr>
        <w:t>WRIT AUTHORIZING ENTRY AND PROPERTY RETRIEVAL; PE</w:t>
      </w:r>
      <w:r>
        <w:rPr>
          <w:rFonts w:eastAsia="Times New Roman" w:cs="Times New Roman"/>
          <w:szCs w:val="24"/>
        </w:rPr>
        <w:t>ACE OFFICER TO ACCOMPANY.  (a) Authorizes a person, if the</w:t>
      </w:r>
      <w:r w:rsidRPr="00626850">
        <w:rPr>
          <w:rFonts w:eastAsia="Times New Roman" w:cs="Times New Roman"/>
          <w:szCs w:val="24"/>
        </w:rPr>
        <w:t xml:space="preserve"> person is unable to enter the person's residence or former residence to retrieve personal property belonging to the person or the person's dependent because the current occupant is denying the person entry, </w:t>
      </w:r>
      <w:r>
        <w:rPr>
          <w:rFonts w:eastAsia="Times New Roman" w:cs="Times New Roman"/>
          <w:szCs w:val="24"/>
        </w:rPr>
        <w:t xml:space="preserve">to apply </w:t>
      </w:r>
      <w:r w:rsidRPr="00626850">
        <w:rPr>
          <w:rFonts w:eastAsia="Times New Roman" w:cs="Times New Roman"/>
          <w:szCs w:val="24"/>
        </w:rPr>
        <w:t>for a writ</w:t>
      </w:r>
      <w:r>
        <w:rPr>
          <w:rFonts w:eastAsia="Times New Roman" w:cs="Times New Roman"/>
          <w:szCs w:val="24"/>
        </w:rPr>
        <w:t>, rather than to apply to the justice court for a writ,</w:t>
      </w:r>
      <w:r w:rsidRPr="00626850">
        <w:rPr>
          <w:rFonts w:eastAsia="Times New Roman" w:cs="Times New Roman"/>
          <w:szCs w:val="24"/>
        </w:rPr>
        <w:t xml:space="preserve"> authorizing the person to enter the residence accompanied by a peace officer to retrieve specific items of personal property.</w:t>
      </w:r>
      <w:r>
        <w:rPr>
          <w:rFonts w:eastAsia="Times New Roman" w:cs="Times New Roman"/>
          <w:szCs w:val="24"/>
        </w:rPr>
        <w:t xml:space="preserve"> </w:t>
      </w:r>
    </w:p>
    <w:p w:rsidR="00E36C3F" w:rsidRDefault="00E36C3F" w:rsidP="00E36C3F">
      <w:pPr>
        <w:tabs>
          <w:tab w:val="left" w:pos="1685"/>
        </w:tabs>
        <w:spacing w:after="0" w:line="240" w:lineRule="auto"/>
        <w:ind w:left="720"/>
        <w:jc w:val="both"/>
        <w:rPr>
          <w:rFonts w:eastAsia="Times New Roman" w:cs="Times New Roman"/>
          <w:szCs w:val="24"/>
        </w:rPr>
      </w:pPr>
    </w:p>
    <w:p w:rsidR="00E36C3F" w:rsidRPr="00626850" w:rsidRDefault="00E36C3F" w:rsidP="00E36C3F">
      <w:pPr>
        <w:tabs>
          <w:tab w:val="left" w:pos="1685"/>
        </w:tabs>
        <w:spacing w:after="0" w:line="240" w:lineRule="auto"/>
        <w:ind w:left="1440"/>
        <w:jc w:val="both"/>
        <w:rPr>
          <w:rFonts w:eastAsia="Times New Roman" w:cs="Times New Roman"/>
          <w:szCs w:val="24"/>
        </w:rPr>
      </w:pPr>
      <w:r w:rsidRPr="00626850">
        <w:rPr>
          <w:rFonts w:eastAsia="Times New Roman" w:cs="Times New Roman"/>
          <w:szCs w:val="24"/>
        </w:rPr>
        <w:t>(a-1) Requires a person applying for a writ under this section to apply:</w:t>
      </w:r>
    </w:p>
    <w:p w:rsidR="00E36C3F" w:rsidRDefault="00E36C3F" w:rsidP="00E36C3F">
      <w:pPr>
        <w:tabs>
          <w:tab w:val="left" w:pos="1685"/>
        </w:tabs>
        <w:spacing w:after="0" w:line="240" w:lineRule="auto"/>
        <w:ind w:left="1685"/>
        <w:jc w:val="both"/>
        <w:rPr>
          <w:rFonts w:eastAsia="Times New Roman" w:cs="Times New Roman"/>
          <w:szCs w:val="24"/>
        </w:rPr>
      </w:pPr>
    </w:p>
    <w:p w:rsidR="00E36C3F" w:rsidRDefault="00E36C3F" w:rsidP="00E36C3F">
      <w:pPr>
        <w:tabs>
          <w:tab w:val="left" w:pos="1685"/>
        </w:tabs>
        <w:spacing w:after="0" w:line="240" w:lineRule="auto"/>
        <w:ind w:left="2160"/>
        <w:jc w:val="both"/>
        <w:rPr>
          <w:rFonts w:eastAsia="Times New Roman" w:cs="Times New Roman"/>
          <w:szCs w:val="24"/>
        </w:rPr>
      </w:pPr>
      <w:r w:rsidRPr="00626850">
        <w:rPr>
          <w:rFonts w:eastAsia="Times New Roman" w:cs="Times New Roman"/>
          <w:szCs w:val="24"/>
        </w:rPr>
        <w:t>(1) if the person and the current occupant are parties to a pending suit under Title 1 (The Marriage Relationship), Family Code, to the court in which the suit is pending;</w:t>
      </w:r>
    </w:p>
    <w:p w:rsidR="00E36C3F" w:rsidRPr="00626850" w:rsidRDefault="00E36C3F" w:rsidP="00E36C3F">
      <w:pPr>
        <w:tabs>
          <w:tab w:val="left" w:pos="1685"/>
        </w:tabs>
        <w:spacing w:after="0" w:line="240" w:lineRule="auto"/>
        <w:ind w:left="2160"/>
        <w:jc w:val="both"/>
        <w:rPr>
          <w:rFonts w:eastAsia="Times New Roman" w:cs="Times New Roman"/>
          <w:szCs w:val="24"/>
        </w:rPr>
      </w:pPr>
    </w:p>
    <w:p w:rsidR="00E36C3F" w:rsidRPr="00626850" w:rsidRDefault="00E36C3F" w:rsidP="00E36C3F">
      <w:pPr>
        <w:tabs>
          <w:tab w:val="left" w:pos="1685"/>
        </w:tabs>
        <w:spacing w:after="0" w:line="240" w:lineRule="auto"/>
        <w:ind w:left="2160"/>
        <w:jc w:val="both"/>
        <w:rPr>
          <w:rFonts w:eastAsia="Times New Roman" w:cs="Times New Roman"/>
          <w:szCs w:val="24"/>
        </w:rPr>
      </w:pPr>
      <w:r w:rsidRPr="00626850">
        <w:rPr>
          <w:rFonts w:eastAsia="Times New Roman" w:cs="Times New Roman"/>
          <w:szCs w:val="24"/>
        </w:rPr>
        <w:t>(2) if the person's right to possession of the items described in the application is subject to a decree of divorce or annulment to which the person and the current occupant are parties, to the court having jurisdiction of the divorce or annulment action; or</w:t>
      </w:r>
    </w:p>
    <w:p w:rsidR="00E36C3F" w:rsidRPr="00626850" w:rsidRDefault="00E36C3F" w:rsidP="00E36C3F">
      <w:pPr>
        <w:tabs>
          <w:tab w:val="left" w:pos="1685"/>
        </w:tabs>
        <w:spacing w:after="0" w:line="240" w:lineRule="auto"/>
        <w:ind w:left="1685"/>
        <w:jc w:val="both"/>
        <w:rPr>
          <w:rFonts w:eastAsia="Times New Roman" w:cs="Times New Roman"/>
          <w:szCs w:val="24"/>
        </w:rPr>
      </w:pPr>
    </w:p>
    <w:p w:rsidR="00E36C3F" w:rsidRDefault="00E36C3F" w:rsidP="00E36C3F">
      <w:pPr>
        <w:tabs>
          <w:tab w:val="left" w:pos="1685"/>
        </w:tabs>
        <w:spacing w:after="0" w:line="240" w:lineRule="auto"/>
        <w:ind w:left="2160"/>
        <w:jc w:val="both"/>
        <w:rPr>
          <w:rFonts w:eastAsia="Times New Roman" w:cs="Times New Roman"/>
          <w:szCs w:val="24"/>
        </w:rPr>
      </w:pPr>
      <w:r w:rsidRPr="00626850">
        <w:rPr>
          <w:rFonts w:eastAsia="Times New Roman" w:cs="Times New Roman"/>
          <w:szCs w:val="24"/>
        </w:rPr>
        <w:t>(3) if Subdivision (1) or (2) does not apply, to a justice court.</w:t>
      </w:r>
    </w:p>
    <w:p w:rsidR="00E36C3F" w:rsidRDefault="00E36C3F" w:rsidP="00E36C3F">
      <w:pPr>
        <w:tabs>
          <w:tab w:val="left" w:pos="1685"/>
        </w:tabs>
        <w:spacing w:after="0" w:line="240" w:lineRule="auto"/>
        <w:ind w:left="720"/>
        <w:jc w:val="both"/>
        <w:rPr>
          <w:rFonts w:eastAsia="Times New Roman" w:cs="Times New Roman"/>
          <w:szCs w:val="24"/>
        </w:rPr>
      </w:pPr>
    </w:p>
    <w:p w:rsidR="00E36C3F" w:rsidRPr="00626850" w:rsidRDefault="00E36C3F" w:rsidP="00E36C3F">
      <w:pPr>
        <w:tabs>
          <w:tab w:val="left" w:pos="1685"/>
        </w:tabs>
        <w:spacing w:after="0" w:line="240" w:lineRule="auto"/>
        <w:ind w:left="1440"/>
        <w:jc w:val="both"/>
        <w:rPr>
          <w:rFonts w:eastAsia="Times New Roman" w:cs="Times New Roman"/>
          <w:szCs w:val="24"/>
        </w:rPr>
      </w:pPr>
      <w:r w:rsidRPr="00626850">
        <w:rPr>
          <w:rFonts w:eastAsia="Times New Roman" w:cs="Times New Roman"/>
          <w:szCs w:val="24"/>
        </w:rPr>
        <w:t>(b) Requires that an application under Subsection (a):</w:t>
      </w:r>
    </w:p>
    <w:p w:rsidR="00E36C3F" w:rsidRDefault="00E36C3F" w:rsidP="00E36C3F">
      <w:pPr>
        <w:tabs>
          <w:tab w:val="left" w:pos="1685"/>
        </w:tabs>
        <w:spacing w:after="0" w:line="240" w:lineRule="auto"/>
        <w:ind w:left="1685"/>
        <w:jc w:val="both"/>
        <w:rPr>
          <w:rFonts w:eastAsia="Times New Roman" w:cs="Times New Roman"/>
          <w:szCs w:val="24"/>
        </w:rPr>
      </w:pPr>
    </w:p>
    <w:p w:rsidR="00E36C3F" w:rsidRDefault="00E36C3F" w:rsidP="00E36C3F">
      <w:pPr>
        <w:tabs>
          <w:tab w:val="left" w:pos="1685"/>
        </w:tabs>
        <w:spacing w:after="0" w:line="240" w:lineRule="auto"/>
        <w:ind w:left="2160"/>
        <w:jc w:val="both"/>
        <w:rPr>
          <w:rFonts w:eastAsia="Times New Roman" w:cs="Times New Roman"/>
          <w:szCs w:val="24"/>
        </w:rPr>
      </w:pPr>
      <w:r w:rsidRPr="00626850">
        <w:rPr>
          <w:rFonts w:eastAsia="Times New Roman" w:cs="Times New Roman"/>
          <w:szCs w:val="24"/>
        </w:rPr>
        <w:t xml:space="preserve">(1) </w:t>
      </w:r>
      <w:r>
        <w:rPr>
          <w:rFonts w:eastAsia="Times New Roman" w:cs="Times New Roman"/>
          <w:szCs w:val="24"/>
        </w:rPr>
        <w:t>and (2) makes no changes to these subdivisions;</w:t>
      </w:r>
    </w:p>
    <w:p w:rsidR="00E36C3F" w:rsidRDefault="00E36C3F" w:rsidP="00E36C3F">
      <w:pPr>
        <w:tabs>
          <w:tab w:val="left" w:pos="1685"/>
        </w:tabs>
        <w:spacing w:after="0" w:line="240" w:lineRule="auto"/>
        <w:ind w:left="2160"/>
        <w:jc w:val="both"/>
        <w:rPr>
          <w:rFonts w:eastAsia="Times New Roman" w:cs="Times New Roman"/>
          <w:szCs w:val="24"/>
        </w:rPr>
      </w:pPr>
    </w:p>
    <w:p w:rsidR="00E36C3F" w:rsidRPr="00626850" w:rsidRDefault="00E36C3F" w:rsidP="00E36C3F">
      <w:pPr>
        <w:tabs>
          <w:tab w:val="left" w:pos="1685"/>
        </w:tabs>
        <w:spacing w:after="0" w:line="240" w:lineRule="auto"/>
        <w:ind w:left="2160"/>
        <w:jc w:val="both"/>
        <w:rPr>
          <w:rFonts w:eastAsia="Times New Roman" w:cs="Times New Roman"/>
          <w:szCs w:val="24"/>
        </w:rPr>
      </w:pPr>
      <w:r>
        <w:rPr>
          <w:rFonts w:eastAsia="Times New Roman" w:cs="Times New Roman"/>
          <w:szCs w:val="24"/>
        </w:rPr>
        <w:t>(3)</w:t>
      </w:r>
      <w:r w:rsidRPr="00626850">
        <w:rPr>
          <w:rFonts w:eastAsia="Times New Roman" w:cs="Times New Roman"/>
          <w:szCs w:val="24"/>
        </w:rPr>
        <w:t xml:space="preserve"> </w:t>
      </w:r>
      <w:r>
        <w:rPr>
          <w:rFonts w:eastAsia="Times New Roman" w:cs="Times New Roman"/>
          <w:szCs w:val="24"/>
        </w:rPr>
        <w:t xml:space="preserve"> </w:t>
      </w:r>
      <w:r w:rsidRPr="00626850">
        <w:rPr>
          <w:rFonts w:eastAsia="Times New Roman" w:cs="Times New Roman"/>
          <w:szCs w:val="24"/>
        </w:rPr>
        <w:t>certify whether, to the best of the applicant's knowledge:</w:t>
      </w:r>
    </w:p>
    <w:p w:rsidR="00E36C3F" w:rsidRDefault="00E36C3F" w:rsidP="00E36C3F">
      <w:pPr>
        <w:tabs>
          <w:tab w:val="left" w:pos="1685"/>
        </w:tabs>
        <w:spacing w:after="0" w:line="240" w:lineRule="auto"/>
        <w:ind w:left="2880"/>
        <w:jc w:val="both"/>
        <w:rPr>
          <w:rFonts w:eastAsia="Times New Roman" w:cs="Times New Roman"/>
          <w:szCs w:val="24"/>
        </w:rPr>
      </w:pPr>
    </w:p>
    <w:p w:rsidR="00E36C3F" w:rsidRPr="00626850" w:rsidRDefault="00E36C3F" w:rsidP="00E36C3F">
      <w:pPr>
        <w:tabs>
          <w:tab w:val="left" w:pos="1685"/>
        </w:tabs>
        <w:spacing w:after="0" w:line="240" w:lineRule="auto"/>
        <w:ind w:left="2880"/>
        <w:jc w:val="both"/>
        <w:rPr>
          <w:rFonts w:eastAsia="Times New Roman" w:cs="Times New Roman"/>
          <w:szCs w:val="24"/>
        </w:rPr>
      </w:pPr>
      <w:r>
        <w:rPr>
          <w:rFonts w:eastAsia="Times New Roman" w:cs="Times New Roman"/>
          <w:szCs w:val="24"/>
        </w:rPr>
        <w:t xml:space="preserve">(A) </w:t>
      </w:r>
      <w:r w:rsidRPr="00626850">
        <w:rPr>
          <w:rFonts w:eastAsia="Times New Roman" w:cs="Times New Roman"/>
          <w:szCs w:val="24"/>
        </w:rPr>
        <w:t>the applicant and the current occupant are parties to a pending suit under Title 1, Family Code; or</w:t>
      </w:r>
    </w:p>
    <w:p w:rsidR="00E36C3F" w:rsidRDefault="00E36C3F" w:rsidP="00E36C3F">
      <w:pPr>
        <w:tabs>
          <w:tab w:val="left" w:pos="1685"/>
        </w:tabs>
        <w:spacing w:after="0" w:line="240" w:lineRule="auto"/>
        <w:ind w:left="2880"/>
        <w:jc w:val="both"/>
        <w:rPr>
          <w:rFonts w:eastAsia="Times New Roman" w:cs="Times New Roman"/>
          <w:szCs w:val="24"/>
        </w:rPr>
      </w:pPr>
    </w:p>
    <w:p w:rsidR="00E36C3F" w:rsidRDefault="00E36C3F" w:rsidP="00E36C3F">
      <w:pPr>
        <w:tabs>
          <w:tab w:val="left" w:pos="1685"/>
        </w:tabs>
        <w:spacing w:after="0" w:line="240" w:lineRule="auto"/>
        <w:ind w:left="2880"/>
        <w:jc w:val="both"/>
        <w:rPr>
          <w:rFonts w:eastAsia="Times New Roman" w:cs="Times New Roman"/>
          <w:szCs w:val="24"/>
        </w:rPr>
      </w:pPr>
      <w:r>
        <w:rPr>
          <w:rFonts w:eastAsia="Times New Roman" w:cs="Times New Roman"/>
          <w:szCs w:val="24"/>
        </w:rPr>
        <w:t>(B)</w:t>
      </w:r>
      <w:r w:rsidRPr="00626850">
        <w:rPr>
          <w:rFonts w:eastAsia="Times New Roman" w:cs="Times New Roman"/>
          <w:szCs w:val="24"/>
        </w:rPr>
        <w:t xml:space="preserve"> the applicant's right to possession of the items described in the application is subject to a decree of divorce or annulment to which the applicant and the current occupant are parties;</w:t>
      </w:r>
    </w:p>
    <w:p w:rsidR="00E36C3F" w:rsidRDefault="00E36C3F" w:rsidP="00E36C3F">
      <w:pPr>
        <w:tabs>
          <w:tab w:val="left" w:pos="1685"/>
        </w:tabs>
        <w:spacing w:after="0" w:line="240" w:lineRule="auto"/>
        <w:ind w:left="2880"/>
        <w:jc w:val="both"/>
        <w:rPr>
          <w:rFonts w:eastAsia="Times New Roman" w:cs="Times New Roman"/>
          <w:szCs w:val="24"/>
        </w:rPr>
      </w:pPr>
    </w:p>
    <w:p w:rsidR="00E36C3F" w:rsidRDefault="00E36C3F" w:rsidP="00E36C3F">
      <w:pPr>
        <w:tabs>
          <w:tab w:val="left" w:pos="1685"/>
        </w:tabs>
        <w:spacing w:after="0" w:line="240" w:lineRule="auto"/>
        <w:ind w:left="2160"/>
        <w:jc w:val="both"/>
        <w:rPr>
          <w:rFonts w:eastAsia="Times New Roman" w:cs="Times New Roman"/>
          <w:szCs w:val="24"/>
        </w:rPr>
      </w:pPr>
      <w:r>
        <w:rPr>
          <w:rFonts w:eastAsia="Times New Roman" w:cs="Times New Roman"/>
          <w:szCs w:val="24"/>
        </w:rPr>
        <w:t xml:space="preserve">(4) </w:t>
      </w:r>
      <w:r w:rsidRPr="00626850">
        <w:rPr>
          <w:rFonts w:eastAsia="Times New Roman" w:cs="Times New Roman"/>
          <w:szCs w:val="24"/>
        </w:rPr>
        <w:t>allege that the applicant or the applicant's dependent requires personal items located in the</w:t>
      </w:r>
      <w:r>
        <w:rPr>
          <w:rFonts w:eastAsia="Times New Roman" w:cs="Times New Roman"/>
          <w:szCs w:val="24"/>
        </w:rPr>
        <w:t xml:space="preserve"> residence that are only of certain types, including </w:t>
      </w:r>
      <w:r w:rsidRPr="00626850">
        <w:rPr>
          <w:rFonts w:eastAsia="Times New Roman" w:cs="Times New Roman"/>
          <w:szCs w:val="24"/>
        </w:rPr>
        <w:t>assistance animals or service animals, as defined by Section 121.002</w:t>
      </w:r>
      <w:r>
        <w:rPr>
          <w:rFonts w:eastAsia="Times New Roman" w:cs="Times New Roman"/>
          <w:szCs w:val="24"/>
        </w:rPr>
        <w:t xml:space="preserve"> (Definitions)</w:t>
      </w:r>
      <w:r w:rsidRPr="00626850">
        <w:rPr>
          <w:rFonts w:eastAsia="Times New Roman" w:cs="Times New Roman"/>
          <w:szCs w:val="24"/>
        </w:rPr>
        <w:t>, Human Resources Code, used by the applicant or the applicant's dependent;</w:t>
      </w:r>
      <w:r>
        <w:rPr>
          <w:rFonts w:eastAsia="Times New Roman" w:cs="Times New Roman"/>
          <w:szCs w:val="24"/>
        </w:rPr>
        <w:t xml:space="preserve"> </w:t>
      </w:r>
      <w:r w:rsidRPr="00626850">
        <w:rPr>
          <w:rFonts w:eastAsia="Times New Roman" w:cs="Times New Roman"/>
          <w:szCs w:val="24"/>
        </w:rPr>
        <w:t>wireless communication devices, as defined by Section 545.425(a)</w:t>
      </w:r>
      <w:r>
        <w:rPr>
          <w:rFonts w:eastAsia="Times New Roman" w:cs="Times New Roman"/>
          <w:szCs w:val="24"/>
        </w:rPr>
        <w:t xml:space="preserve"> (relating to the definition of "wireless communication devices")</w:t>
      </w:r>
      <w:r w:rsidRPr="00626850">
        <w:rPr>
          <w:rFonts w:eastAsia="Times New Roman" w:cs="Times New Roman"/>
          <w:szCs w:val="24"/>
        </w:rPr>
        <w:t>, Transportation Code, of the applicant or the applicant's dependent; or</w:t>
      </w:r>
      <w:r>
        <w:rPr>
          <w:rFonts w:eastAsia="Times New Roman" w:cs="Times New Roman"/>
          <w:szCs w:val="24"/>
        </w:rPr>
        <w:t xml:space="preserve"> </w:t>
      </w:r>
      <w:r w:rsidRPr="00626850">
        <w:rPr>
          <w:rFonts w:eastAsia="Times New Roman" w:cs="Times New Roman"/>
          <w:szCs w:val="24"/>
        </w:rPr>
        <w:t>tools, equipment, books, and apparatus used by the applicant in the applicant's trade or profession;</w:t>
      </w:r>
    </w:p>
    <w:p w:rsidR="00E36C3F" w:rsidRDefault="00E36C3F" w:rsidP="00E36C3F">
      <w:pPr>
        <w:tabs>
          <w:tab w:val="left" w:pos="1685"/>
        </w:tabs>
        <w:spacing w:after="0" w:line="240" w:lineRule="auto"/>
        <w:ind w:left="2160"/>
        <w:jc w:val="both"/>
        <w:rPr>
          <w:rFonts w:eastAsia="Times New Roman" w:cs="Times New Roman"/>
          <w:szCs w:val="24"/>
        </w:rPr>
      </w:pPr>
    </w:p>
    <w:p w:rsidR="00E36C3F" w:rsidRDefault="00E36C3F" w:rsidP="00E36C3F">
      <w:pPr>
        <w:tabs>
          <w:tab w:val="left" w:pos="1685"/>
        </w:tabs>
        <w:spacing w:after="0" w:line="240" w:lineRule="auto"/>
        <w:ind w:left="2160"/>
        <w:jc w:val="both"/>
        <w:rPr>
          <w:rFonts w:eastAsia="Times New Roman" w:cs="Times New Roman"/>
          <w:szCs w:val="24"/>
        </w:rPr>
      </w:pPr>
      <w:r>
        <w:rPr>
          <w:rFonts w:eastAsia="Times New Roman" w:cs="Times New Roman"/>
          <w:szCs w:val="24"/>
        </w:rPr>
        <w:t>(5) - (7) makes nonsubstantive changes.</w:t>
      </w:r>
    </w:p>
    <w:p w:rsidR="00E36C3F" w:rsidRDefault="00E36C3F" w:rsidP="00E36C3F">
      <w:pPr>
        <w:tabs>
          <w:tab w:val="left" w:pos="1685"/>
        </w:tabs>
        <w:spacing w:after="0" w:line="240" w:lineRule="auto"/>
        <w:ind w:left="2160"/>
        <w:jc w:val="both"/>
        <w:rPr>
          <w:rFonts w:eastAsia="Times New Roman" w:cs="Times New Roman"/>
          <w:szCs w:val="24"/>
        </w:rPr>
      </w:pPr>
    </w:p>
    <w:p w:rsidR="00E36C3F" w:rsidRDefault="00E36C3F" w:rsidP="00E36C3F">
      <w:pPr>
        <w:tabs>
          <w:tab w:val="left" w:pos="1685"/>
        </w:tabs>
        <w:spacing w:after="0" w:line="240" w:lineRule="auto"/>
        <w:ind w:left="1440"/>
        <w:jc w:val="both"/>
        <w:rPr>
          <w:rFonts w:eastAsia="Times New Roman" w:cs="Times New Roman"/>
          <w:szCs w:val="24"/>
        </w:rPr>
      </w:pPr>
      <w:r>
        <w:rPr>
          <w:rFonts w:eastAsia="Times New Roman" w:cs="Times New Roman"/>
          <w:szCs w:val="24"/>
        </w:rPr>
        <w:t>(c), (d), and (e) Makes conforming changes.</w:t>
      </w:r>
    </w:p>
    <w:p w:rsidR="00E36C3F" w:rsidRPr="005C2A78" w:rsidRDefault="00E36C3F" w:rsidP="00E36C3F">
      <w:pPr>
        <w:tabs>
          <w:tab w:val="left" w:pos="1685"/>
        </w:tabs>
        <w:spacing w:after="0" w:line="240" w:lineRule="auto"/>
        <w:ind w:left="1440"/>
        <w:jc w:val="both"/>
        <w:rPr>
          <w:rFonts w:eastAsia="Times New Roman" w:cs="Times New Roman"/>
          <w:szCs w:val="24"/>
        </w:rPr>
      </w:pPr>
    </w:p>
    <w:p w:rsidR="00E36C3F" w:rsidRPr="00626850" w:rsidRDefault="00E36C3F" w:rsidP="00E36C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26850">
        <w:rPr>
          <w:rFonts w:eastAsia="Times New Roman" w:cs="Times New Roman"/>
          <w:szCs w:val="24"/>
        </w:rPr>
        <w:t>Sections 24A.0021(a), (b), and (c), Property Code,</w:t>
      </w:r>
      <w:r>
        <w:rPr>
          <w:rFonts w:eastAsia="Times New Roman" w:cs="Times New Roman"/>
          <w:szCs w:val="24"/>
        </w:rPr>
        <w:t xml:space="preserve"> to make conforming changes.</w:t>
      </w:r>
    </w:p>
    <w:p w:rsidR="00E36C3F" w:rsidRPr="005C2A78" w:rsidRDefault="00E36C3F" w:rsidP="00E36C3F">
      <w:pPr>
        <w:spacing w:after="0" w:line="240" w:lineRule="auto"/>
        <w:jc w:val="both"/>
        <w:rPr>
          <w:rFonts w:eastAsia="Times New Roman" w:cs="Times New Roman"/>
          <w:szCs w:val="24"/>
        </w:rPr>
      </w:pPr>
    </w:p>
    <w:p w:rsidR="00E36C3F" w:rsidRPr="00626850" w:rsidRDefault="00E36C3F" w:rsidP="00E36C3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26850">
        <w:rPr>
          <w:rFonts w:eastAsia="Times New Roman" w:cs="Times New Roman"/>
          <w:szCs w:val="24"/>
        </w:rPr>
        <w:t>Section 24A.003(a), Property Code,</w:t>
      </w:r>
      <w:r>
        <w:rPr>
          <w:rFonts w:eastAsia="Times New Roman" w:cs="Times New Roman"/>
          <w:szCs w:val="24"/>
        </w:rPr>
        <w:t xml:space="preserve"> to make a conforming change.</w:t>
      </w:r>
    </w:p>
    <w:p w:rsidR="00E36C3F" w:rsidRDefault="00E36C3F" w:rsidP="00E36C3F">
      <w:pPr>
        <w:spacing w:after="0" w:line="240" w:lineRule="auto"/>
        <w:jc w:val="both"/>
        <w:rPr>
          <w:rFonts w:eastAsia="Times New Roman" w:cs="Times New Roman"/>
          <w:szCs w:val="24"/>
        </w:rPr>
      </w:pPr>
    </w:p>
    <w:p w:rsidR="00E36C3F" w:rsidRDefault="00E36C3F" w:rsidP="00E36C3F">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E36C3F" w:rsidRDefault="00E36C3F" w:rsidP="00E36C3F">
      <w:pPr>
        <w:spacing w:after="0" w:line="240" w:lineRule="auto"/>
        <w:jc w:val="both"/>
        <w:rPr>
          <w:rFonts w:eastAsia="Times New Roman" w:cs="Times New Roman"/>
          <w:szCs w:val="24"/>
        </w:rPr>
      </w:pPr>
    </w:p>
    <w:p w:rsidR="00E36C3F" w:rsidRPr="00C8671F" w:rsidRDefault="00E36C3F" w:rsidP="00E36C3F">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E36C3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DA" w:rsidRDefault="008640DA" w:rsidP="000F1DF9">
      <w:pPr>
        <w:spacing w:after="0" w:line="240" w:lineRule="auto"/>
      </w:pPr>
      <w:r>
        <w:separator/>
      </w:r>
    </w:p>
  </w:endnote>
  <w:endnote w:type="continuationSeparator" w:id="0">
    <w:p w:rsidR="008640DA" w:rsidRDefault="008640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40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6C3F">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36C3F">
                <w:rPr>
                  <w:sz w:val="20"/>
                  <w:szCs w:val="20"/>
                </w:rPr>
                <w:t>H.B. 1012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36C3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40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6C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6C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DA" w:rsidRDefault="008640DA" w:rsidP="000F1DF9">
      <w:pPr>
        <w:spacing w:after="0" w:line="240" w:lineRule="auto"/>
      </w:pPr>
      <w:r>
        <w:separator/>
      </w:r>
    </w:p>
  </w:footnote>
  <w:footnote w:type="continuationSeparator" w:id="0">
    <w:p w:rsidR="008640DA" w:rsidRDefault="008640D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40D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6C3F"/>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C47C9"/>
  <w15:docId w15:val="{A4A1A859-5D94-43DE-BC91-B1ADE0AB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6C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8F66559C104196853EBF5DF789171A"/>
        <w:category>
          <w:name w:val="General"/>
          <w:gallery w:val="placeholder"/>
        </w:category>
        <w:types>
          <w:type w:val="bbPlcHdr"/>
        </w:types>
        <w:behaviors>
          <w:behavior w:val="content"/>
        </w:behaviors>
        <w:guid w:val="{19222726-9157-4830-AACB-C056CAEE8B7C}"/>
      </w:docPartPr>
      <w:docPartBody>
        <w:p w:rsidR="00000000" w:rsidRDefault="00113EEA"/>
      </w:docPartBody>
    </w:docPart>
    <w:docPart>
      <w:docPartPr>
        <w:name w:val="2432D96A42444B4EB2F6EFE71843D665"/>
        <w:category>
          <w:name w:val="General"/>
          <w:gallery w:val="placeholder"/>
        </w:category>
        <w:types>
          <w:type w:val="bbPlcHdr"/>
        </w:types>
        <w:behaviors>
          <w:behavior w:val="content"/>
        </w:behaviors>
        <w:guid w:val="{AC22FA67-2381-4784-B219-1292820220EA}"/>
      </w:docPartPr>
      <w:docPartBody>
        <w:p w:rsidR="00000000" w:rsidRDefault="00113EEA"/>
      </w:docPartBody>
    </w:docPart>
    <w:docPart>
      <w:docPartPr>
        <w:name w:val="616C6A5B64B7473FAABAE0458A7BD193"/>
        <w:category>
          <w:name w:val="General"/>
          <w:gallery w:val="placeholder"/>
        </w:category>
        <w:types>
          <w:type w:val="bbPlcHdr"/>
        </w:types>
        <w:behaviors>
          <w:behavior w:val="content"/>
        </w:behaviors>
        <w:guid w:val="{3251A754-D4DB-4C84-A515-00F206A61051}"/>
      </w:docPartPr>
      <w:docPartBody>
        <w:p w:rsidR="00000000" w:rsidRDefault="00113EEA"/>
      </w:docPartBody>
    </w:docPart>
    <w:docPart>
      <w:docPartPr>
        <w:name w:val="A4E6971E26AC405394E32402D96E1163"/>
        <w:category>
          <w:name w:val="General"/>
          <w:gallery w:val="placeholder"/>
        </w:category>
        <w:types>
          <w:type w:val="bbPlcHdr"/>
        </w:types>
        <w:behaviors>
          <w:behavior w:val="content"/>
        </w:behaviors>
        <w:guid w:val="{4DD6E545-4FA9-4987-BFDD-AEC9456A66A4}"/>
      </w:docPartPr>
      <w:docPartBody>
        <w:p w:rsidR="00000000" w:rsidRDefault="00113EEA"/>
      </w:docPartBody>
    </w:docPart>
    <w:docPart>
      <w:docPartPr>
        <w:name w:val="E6A9293461984C6DA6E7758EFE0F58C3"/>
        <w:category>
          <w:name w:val="General"/>
          <w:gallery w:val="placeholder"/>
        </w:category>
        <w:types>
          <w:type w:val="bbPlcHdr"/>
        </w:types>
        <w:behaviors>
          <w:behavior w:val="content"/>
        </w:behaviors>
        <w:guid w:val="{533A3FE9-3A40-4C28-A99F-C21755486D91}"/>
      </w:docPartPr>
      <w:docPartBody>
        <w:p w:rsidR="00000000" w:rsidRDefault="00113EEA"/>
      </w:docPartBody>
    </w:docPart>
    <w:docPart>
      <w:docPartPr>
        <w:name w:val="D5816E2EB31F4B5BB2F290321B975ED9"/>
        <w:category>
          <w:name w:val="General"/>
          <w:gallery w:val="placeholder"/>
        </w:category>
        <w:types>
          <w:type w:val="bbPlcHdr"/>
        </w:types>
        <w:behaviors>
          <w:behavior w:val="content"/>
        </w:behaviors>
        <w:guid w:val="{5B45617E-1B16-4839-9D7C-0347099AD5AC}"/>
      </w:docPartPr>
      <w:docPartBody>
        <w:p w:rsidR="00000000" w:rsidRDefault="00113EEA"/>
      </w:docPartBody>
    </w:docPart>
    <w:docPart>
      <w:docPartPr>
        <w:name w:val="36B523EDCC4641B8ACD82712810A9F2B"/>
        <w:category>
          <w:name w:val="General"/>
          <w:gallery w:val="placeholder"/>
        </w:category>
        <w:types>
          <w:type w:val="bbPlcHdr"/>
        </w:types>
        <w:behaviors>
          <w:behavior w:val="content"/>
        </w:behaviors>
        <w:guid w:val="{8353F1EF-94A0-4A51-B3B3-D6D41F7ACE51}"/>
      </w:docPartPr>
      <w:docPartBody>
        <w:p w:rsidR="00000000" w:rsidRDefault="00113EEA"/>
      </w:docPartBody>
    </w:docPart>
    <w:docPart>
      <w:docPartPr>
        <w:name w:val="899928868DED4A5F92F0396088049020"/>
        <w:category>
          <w:name w:val="General"/>
          <w:gallery w:val="placeholder"/>
        </w:category>
        <w:types>
          <w:type w:val="bbPlcHdr"/>
        </w:types>
        <w:behaviors>
          <w:behavior w:val="content"/>
        </w:behaviors>
        <w:guid w:val="{A1719240-0736-4A26-81AA-05AFD52B44E9}"/>
      </w:docPartPr>
      <w:docPartBody>
        <w:p w:rsidR="00000000" w:rsidRDefault="00113EEA"/>
      </w:docPartBody>
    </w:docPart>
    <w:docPart>
      <w:docPartPr>
        <w:name w:val="7712BF1D4A0B40179FB7E79A44CAE103"/>
        <w:category>
          <w:name w:val="General"/>
          <w:gallery w:val="placeholder"/>
        </w:category>
        <w:types>
          <w:type w:val="bbPlcHdr"/>
        </w:types>
        <w:behaviors>
          <w:behavior w:val="content"/>
        </w:behaviors>
        <w:guid w:val="{77FD470E-5276-41F5-85AB-B229559FDF88}"/>
      </w:docPartPr>
      <w:docPartBody>
        <w:p w:rsidR="00000000" w:rsidRDefault="00113EEA"/>
      </w:docPartBody>
    </w:docPart>
    <w:docPart>
      <w:docPartPr>
        <w:name w:val="16C736F47F8046E084819A9AF4200D25"/>
        <w:category>
          <w:name w:val="General"/>
          <w:gallery w:val="placeholder"/>
        </w:category>
        <w:types>
          <w:type w:val="bbPlcHdr"/>
        </w:types>
        <w:behaviors>
          <w:behavior w:val="content"/>
        </w:behaviors>
        <w:guid w:val="{EC681C00-DAF9-448C-A9F8-0C1B08E8D99C}"/>
      </w:docPartPr>
      <w:docPartBody>
        <w:p w:rsidR="00000000" w:rsidRDefault="00FC50E5" w:rsidP="00FC50E5">
          <w:pPr>
            <w:pStyle w:val="16C736F47F8046E084819A9AF4200D25"/>
          </w:pPr>
          <w:r w:rsidRPr="00A30DD1">
            <w:rPr>
              <w:rStyle w:val="PlaceholderText"/>
            </w:rPr>
            <w:t>Click here to enter a date.</w:t>
          </w:r>
        </w:p>
      </w:docPartBody>
    </w:docPart>
    <w:docPart>
      <w:docPartPr>
        <w:name w:val="7060E875AB4741BD8597997A44D16FE3"/>
        <w:category>
          <w:name w:val="General"/>
          <w:gallery w:val="placeholder"/>
        </w:category>
        <w:types>
          <w:type w:val="bbPlcHdr"/>
        </w:types>
        <w:behaviors>
          <w:behavior w:val="content"/>
        </w:behaviors>
        <w:guid w:val="{93C26520-D7B3-4E66-9596-B78B0EF3664E}"/>
      </w:docPartPr>
      <w:docPartBody>
        <w:p w:rsidR="00000000" w:rsidRDefault="00113EEA"/>
      </w:docPartBody>
    </w:docPart>
    <w:docPart>
      <w:docPartPr>
        <w:name w:val="E8982AD88BCF42868D0AF765CC5693B9"/>
        <w:category>
          <w:name w:val="General"/>
          <w:gallery w:val="placeholder"/>
        </w:category>
        <w:types>
          <w:type w:val="bbPlcHdr"/>
        </w:types>
        <w:behaviors>
          <w:behavior w:val="content"/>
        </w:behaviors>
        <w:guid w:val="{2B899031-9730-49CC-B32E-BB4DC9F4EFCD}"/>
      </w:docPartPr>
      <w:docPartBody>
        <w:p w:rsidR="00000000" w:rsidRDefault="00113EEA"/>
      </w:docPartBody>
    </w:docPart>
    <w:docPart>
      <w:docPartPr>
        <w:name w:val="C2323D962C1F43878528B40F5C29365B"/>
        <w:category>
          <w:name w:val="General"/>
          <w:gallery w:val="placeholder"/>
        </w:category>
        <w:types>
          <w:type w:val="bbPlcHdr"/>
        </w:types>
        <w:behaviors>
          <w:behavior w:val="content"/>
        </w:behaviors>
        <w:guid w:val="{B52CCD4A-08E4-4FDB-8A6B-6148B8EA1AE2}"/>
      </w:docPartPr>
      <w:docPartBody>
        <w:p w:rsidR="00000000" w:rsidRDefault="00FC50E5" w:rsidP="00FC50E5">
          <w:pPr>
            <w:pStyle w:val="C2323D962C1F43878528B40F5C29365B"/>
          </w:pPr>
          <w:r>
            <w:rPr>
              <w:rFonts w:eastAsia="Times New Roman" w:cs="Times New Roman"/>
              <w:bCs/>
              <w:szCs w:val="24"/>
            </w:rPr>
            <w:t xml:space="preserve"> </w:t>
          </w:r>
        </w:p>
      </w:docPartBody>
    </w:docPart>
    <w:docPart>
      <w:docPartPr>
        <w:name w:val="B90164E753094E08913F2162780BA144"/>
        <w:category>
          <w:name w:val="General"/>
          <w:gallery w:val="placeholder"/>
        </w:category>
        <w:types>
          <w:type w:val="bbPlcHdr"/>
        </w:types>
        <w:behaviors>
          <w:behavior w:val="content"/>
        </w:behaviors>
        <w:guid w:val="{EE18B780-843B-473A-867B-3A60E8F48C86}"/>
      </w:docPartPr>
      <w:docPartBody>
        <w:p w:rsidR="00000000" w:rsidRDefault="00113EEA"/>
      </w:docPartBody>
    </w:docPart>
    <w:docPart>
      <w:docPartPr>
        <w:name w:val="E4C30112048E4643BECFC42F6EDB98D9"/>
        <w:category>
          <w:name w:val="General"/>
          <w:gallery w:val="placeholder"/>
        </w:category>
        <w:types>
          <w:type w:val="bbPlcHdr"/>
        </w:types>
        <w:behaviors>
          <w:behavior w:val="content"/>
        </w:behaviors>
        <w:guid w:val="{9A4E1D3F-9908-49E5-8173-2EF33CA4983F}"/>
      </w:docPartPr>
      <w:docPartBody>
        <w:p w:rsidR="00000000" w:rsidRDefault="00113E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13EEA"/>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0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6C736F47F8046E084819A9AF4200D25">
    <w:name w:val="16C736F47F8046E084819A9AF4200D25"/>
    <w:rsid w:val="00FC50E5"/>
    <w:pPr>
      <w:spacing w:after="160" w:line="259" w:lineRule="auto"/>
    </w:pPr>
  </w:style>
  <w:style w:type="paragraph" w:customStyle="1" w:styleId="C2323D962C1F43878528B40F5C29365B">
    <w:name w:val="C2323D962C1F43878528B40F5C29365B"/>
    <w:rsid w:val="00FC50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9CAA02-044A-4824-A611-0F4430A0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1</Pages>
  <Words>583</Words>
  <Characters>3325</Characters>
  <Application>Microsoft Office Word</Application>
  <DocSecurity>0</DocSecurity>
  <Lines>27</Lines>
  <Paragraphs>7</Paragraphs>
  <ScaleCrop>false</ScaleCrop>
  <Company>Texas Legislative Council</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2021-05-07T18:42:00Z</cp:lastPrinted>
  <dcterms:created xsi:type="dcterms:W3CDTF">2015-05-29T14:24:00Z</dcterms:created>
  <dcterms:modified xsi:type="dcterms:W3CDTF">2021-05-07T18:50:00Z</dcterms:modified>
</cp:coreProperties>
</file>

<file path=docProps/custom.xml><?xml version="1.0" encoding="utf-8"?>
<op:Properties xmlns:vt="http://schemas.openxmlformats.org/officeDocument/2006/docPropsVTypes" xmlns:op="http://schemas.openxmlformats.org/officeDocument/2006/custom-properties"/>
</file>