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7F1E" w14:paraId="7414BFF4" w14:textId="77777777" w:rsidTr="00345119">
        <w:tc>
          <w:tcPr>
            <w:tcW w:w="9576" w:type="dxa"/>
            <w:noWrap/>
          </w:tcPr>
          <w:p w14:paraId="7F0B6AFF" w14:textId="77777777" w:rsidR="008423E4" w:rsidRPr="0022177D" w:rsidRDefault="00AF0057" w:rsidP="003653A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B14F5A4" w14:textId="77777777" w:rsidR="008423E4" w:rsidRPr="0022177D" w:rsidRDefault="008423E4" w:rsidP="003653AA">
      <w:pPr>
        <w:jc w:val="center"/>
      </w:pPr>
    </w:p>
    <w:p w14:paraId="4E20741C" w14:textId="77777777" w:rsidR="008423E4" w:rsidRPr="00B31F0E" w:rsidRDefault="008423E4" w:rsidP="003653AA"/>
    <w:p w14:paraId="4E1346B7" w14:textId="77777777" w:rsidR="008423E4" w:rsidRPr="00742794" w:rsidRDefault="008423E4" w:rsidP="003653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7F1E" w14:paraId="33EBCB1A" w14:textId="77777777" w:rsidTr="00345119">
        <w:tc>
          <w:tcPr>
            <w:tcW w:w="9576" w:type="dxa"/>
          </w:tcPr>
          <w:p w14:paraId="548CAD93" w14:textId="5F5F31BC" w:rsidR="008423E4" w:rsidRPr="00861995" w:rsidRDefault="00AF0057" w:rsidP="003653AA">
            <w:pPr>
              <w:jc w:val="right"/>
            </w:pPr>
            <w:r>
              <w:t>H.B. 1012</w:t>
            </w:r>
          </w:p>
        </w:tc>
      </w:tr>
      <w:tr w:rsidR="00D27F1E" w14:paraId="388E9EF4" w14:textId="77777777" w:rsidTr="00345119">
        <w:tc>
          <w:tcPr>
            <w:tcW w:w="9576" w:type="dxa"/>
          </w:tcPr>
          <w:p w14:paraId="77DB7118" w14:textId="6A91CC42" w:rsidR="008423E4" w:rsidRPr="00861995" w:rsidRDefault="00AF0057" w:rsidP="003653AA">
            <w:pPr>
              <w:jc w:val="right"/>
            </w:pPr>
            <w:r>
              <w:t xml:space="preserve">By: </w:t>
            </w:r>
            <w:r w:rsidR="0095136A">
              <w:t>Dutton</w:t>
            </w:r>
          </w:p>
        </w:tc>
      </w:tr>
      <w:tr w:rsidR="00D27F1E" w14:paraId="65D95714" w14:textId="77777777" w:rsidTr="00345119">
        <w:tc>
          <w:tcPr>
            <w:tcW w:w="9576" w:type="dxa"/>
          </w:tcPr>
          <w:p w14:paraId="5274CC95" w14:textId="04602765" w:rsidR="008423E4" w:rsidRPr="00861995" w:rsidRDefault="00AF0057" w:rsidP="003653AA">
            <w:pPr>
              <w:jc w:val="right"/>
            </w:pPr>
            <w:r>
              <w:t>Juvenile Justice &amp; Family Issues</w:t>
            </w:r>
          </w:p>
        </w:tc>
      </w:tr>
      <w:tr w:rsidR="00D27F1E" w14:paraId="23361B76" w14:textId="77777777" w:rsidTr="00345119">
        <w:tc>
          <w:tcPr>
            <w:tcW w:w="9576" w:type="dxa"/>
          </w:tcPr>
          <w:p w14:paraId="5DEE8A22" w14:textId="5C10AF7F" w:rsidR="008423E4" w:rsidRDefault="00AF0057" w:rsidP="003653AA">
            <w:pPr>
              <w:jc w:val="right"/>
            </w:pPr>
            <w:r>
              <w:t>Committee Report (Unamended)</w:t>
            </w:r>
          </w:p>
        </w:tc>
      </w:tr>
    </w:tbl>
    <w:p w14:paraId="6DC840ED" w14:textId="77777777" w:rsidR="008423E4" w:rsidRDefault="008423E4" w:rsidP="003653AA">
      <w:pPr>
        <w:tabs>
          <w:tab w:val="right" w:pos="9360"/>
        </w:tabs>
      </w:pPr>
    </w:p>
    <w:p w14:paraId="366FB3BE" w14:textId="77777777" w:rsidR="008423E4" w:rsidRDefault="008423E4" w:rsidP="003653AA"/>
    <w:p w14:paraId="764F4C5F" w14:textId="77777777" w:rsidR="008423E4" w:rsidRDefault="008423E4" w:rsidP="003653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7F1E" w14:paraId="7AB807D8" w14:textId="77777777" w:rsidTr="00345119">
        <w:tc>
          <w:tcPr>
            <w:tcW w:w="9576" w:type="dxa"/>
          </w:tcPr>
          <w:p w14:paraId="5B31DC3C" w14:textId="77777777" w:rsidR="008423E4" w:rsidRPr="00A8133F" w:rsidRDefault="00AF0057" w:rsidP="003653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DAD03A" w14:textId="77777777" w:rsidR="008423E4" w:rsidRPr="00C977DA" w:rsidRDefault="008423E4" w:rsidP="003653AA">
            <w:pPr>
              <w:rPr>
                <w:sz w:val="14"/>
              </w:rPr>
            </w:pPr>
          </w:p>
          <w:p w14:paraId="6D230B2B" w14:textId="4F717890" w:rsidR="00CE7A4F" w:rsidRDefault="00AF0057" w:rsidP="003653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while </w:t>
            </w:r>
            <w:r w:rsidRPr="00CE7A4F">
              <w:t>a justice court</w:t>
            </w:r>
            <w:r>
              <w:t xml:space="preserve"> has</w:t>
            </w:r>
            <w:r w:rsidR="00587DEE">
              <w:t xml:space="preserve"> broad</w:t>
            </w:r>
            <w:r w:rsidRPr="00CE7A4F">
              <w:t xml:space="preserve"> jurisdiction</w:t>
            </w:r>
            <w:r w:rsidR="00587DEE">
              <w:t xml:space="preserve"> it might</w:t>
            </w:r>
            <w:r w:rsidRPr="00CE7A4F">
              <w:t xml:space="preserve"> not have the </w:t>
            </w:r>
            <w:r w:rsidR="00587DEE">
              <w:t>appropriate</w:t>
            </w:r>
            <w:r w:rsidR="00587DEE" w:rsidRPr="00CE7A4F">
              <w:t xml:space="preserve"> </w:t>
            </w:r>
            <w:r w:rsidRPr="00CE7A4F">
              <w:t xml:space="preserve">context and </w:t>
            </w:r>
            <w:r w:rsidRPr="00CE7A4F">
              <w:t>understanding of situation</w:t>
            </w:r>
            <w:r w:rsidR="006A420A">
              <w:t xml:space="preserve">s involving individuals who are parties in certain suits and decrees </w:t>
            </w:r>
            <w:r w:rsidRPr="00CE7A4F">
              <w:t xml:space="preserve">as the court </w:t>
            </w:r>
            <w:r w:rsidR="006A420A">
              <w:t>in which the suit is pending</w:t>
            </w:r>
            <w:r w:rsidRPr="00CE7A4F">
              <w:t xml:space="preserve">. </w:t>
            </w:r>
            <w:r w:rsidR="008459E9">
              <w:t xml:space="preserve">It has been suggested that the court in which </w:t>
            </w:r>
            <w:r w:rsidR="00D356FD">
              <w:t>a</w:t>
            </w:r>
            <w:r w:rsidR="008459E9">
              <w:t xml:space="preserve"> suit relating to the marriage relationship is pending or the court having jurisdiction of a divorce or annulment action may be </w:t>
            </w:r>
            <w:r w:rsidR="00D356FD">
              <w:t xml:space="preserve">the </w:t>
            </w:r>
            <w:r w:rsidR="008459E9">
              <w:t>more appropriate</w:t>
            </w:r>
            <w:r w:rsidR="00D356FD">
              <w:t xml:space="preserve"> court</w:t>
            </w:r>
            <w:r w:rsidRPr="00CE7A4F">
              <w:t xml:space="preserve"> to grant an individual access to </w:t>
            </w:r>
            <w:r w:rsidR="00D356FD">
              <w:t>a</w:t>
            </w:r>
            <w:r w:rsidRPr="00CE7A4F">
              <w:t xml:space="preserve"> residence</w:t>
            </w:r>
            <w:r w:rsidR="00D356FD">
              <w:t xml:space="preserve"> to </w:t>
            </w:r>
            <w:r w:rsidR="008459E9" w:rsidRPr="008459E9">
              <w:t>retrieve specific items of personal property while accompanied by a peace officer</w:t>
            </w:r>
            <w:r w:rsidR="00D356FD">
              <w:t xml:space="preserve">. </w:t>
            </w:r>
            <w:r w:rsidRPr="00CE7A4F">
              <w:t>H</w:t>
            </w:r>
            <w:r w:rsidR="00D356FD">
              <w:t>.</w:t>
            </w:r>
            <w:r w:rsidRPr="00CE7A4F">
              <w:t>B</w:t>
            </w:r>
            <w:r w:rsidR="00D356FD">
              <w:t xml:space="preserve">. </w:t>
            </w:r>
            <w:r w:rsidRPr="00CE7A4F">
              <w:t xml:space="preserve">1012 </w:t>
            </w:r>
            <w:r w:rsidR="00D356FD">
              <w:t xml:space="preserve">seeks to address this issue </w:t>
            </w:r>
            <w:r w:rsidR="00451AA6">
              <w:t>and provide</w:t>
            </w:r>
            <w:r w:rsidR="00AB4680">
              <w:t xml:space="preserve"> </w:t>
            </w:r>
            <w:r w:rsidR="005A682C">
              <w:t>those</w:t>
            </w:r>
            <w:r w:rsidR="00AB4680">
              <w:t xml:space="preserve"> courts</w:t>
            </w:r>
            <w:r w:rsidR="005A682C">
              <w:t xml:space="preserve"> the ability to </w:t>
            </w:r>
            <w:r w:rsidRPr="00CE7A4F">
              <w:t xml:space="preserve">grant </w:t>
            </w:r>
            <w:r w:rsidR="00871E9A">
              <w:t xml:space="preserve">a person </w:t>
            </w:r>
            <w:r w:rsidRPr="00CE7A4F">
              <w:t>access to a residence</w:t>
            </w:r>
            <w:r w:rsidR="005A682C">
              <w:t xml:space="preserve"> or former residence to retrieve </w:t>
            </w:r>
            <w:r w:rsidR="00451AA6">
              <w:t>certain personal property</w:t>
            </w:r>
            <w:r w:rsidRPr="00CE7A4F">
              <w:t>.</w:t>
            </w:r>
          </w:p>
          <w:p w14:paraId="39D9FC7D" w14:textId="77777777" w:rsidR="008423E4" w:rsidRPr="00E26B13" w:rsidRDefault="008423E4" w:rsidP="003653AA">
            <w:pPr>
              <w:rPr>
                <w:b/>
              </w:rPr>
            </w:pPr>
          </w:p>
        </w:tc>
      </w:tr>
      <w:tr w:rsidR="00D27F1E" w14:paraId="3158B053" w14:textId="77777777" w:rsidTr="00345119">
        <w:tc>
          <w:tcPr>
            <w:tcW w:w="9576" w:type="dxa"/>
          </w:tcPr>
          <w:p w14:paraId="0111F1C4" w14:textId="77777777" w:rsidR="0017725B" w:rsidRDefault="00AF0057" w:rsidP="00365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74AF44" w14:textId="77777777" w:rsidR="0017725B" w:rsidRPr="00C977DA" w:rsidRDefault="0017725B" w:rsidP="003653AA">
            <w:pPr>
              <w:rPr>
                <w:b/>
                <w:sz w:val="14"/>
                <w:u w:val="single"/>
              </w:rPr>
            </w:pPr>
          </w:p>
          <w:p w14:paraId="1F748CFD" w14:textId="77777777" w:rsidR="00712DB9" w:rsidRPr="00712DB9" w:rsidRDefault="00AF0057" w:rsidP="003653AA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55517740" w14:textId="77777777" w:rsidR="0017725B" w:rsidRPr="0017725B" w:rsidRDefault="0017725B" w:rsidP="003653AA">
            <w:pPr>
              <w:rPr>
                <w:b/>
                <w:u w:val="single"/>
              </w:rPr>
            </w:pPr>
          </w:p>
        </w:tc>
      </w:tr>
      <w:tr w:rsidR="00D27F1E" w14:paraId="70B782D3" w14:textId="77777777" w:rsidTr="00345119">
        <w:tc>
          <w:tcPr>
            <w:tcW w:w="9576" w:type="dxa"/>
          </w:tcPr>
          <w:p w14:paraId="327128AF" w14:textId="77777777" w:rsidR="008423E4" w:rsidRPr="00A8133F" w:rsidRDefault="00AF0057" w:rsidP="003653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3294D2" w14:textId="77777777" w:rsidR="008423E4" w:rsidRPr="00C977DA" w:rsidRDefault="008423E4" w:rsidP="003653AA">
            <w:pPr>
              <w:rPr>
                <w:sz w:val="14"/>
              </w:rPr>
            </w:pPr>
          </w:p>
          <w:p w14:paraId="41840E90" w14:textId="77777777" w:rsidR="00712DB9" w:rsidRDefault="00AF0057" w:rsidP="003653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022F6EBA" w14:textId="77777777" w:rsidR="008423E4" w:rsidRPr="00E21FDC" w:rsidRDefault="008423E4" w:rsidP="003653AA">
            <w:pPr>
              <w:rPr>
                <w:b/>
              </w:rPr>
            </w:pPr>
          </w:p>
        </w:tc>
      </w:tr>
      <w:tr w:rsidR="00D27F1E" w14:paraId="2D6F2221" w14:textId="77777777" w:rsidTr="00345119">
        <w:tc>
          <w:tcPr>
            <w:tcW w:w="9576" w:type="dxa"/>
          </w:tcPr>
          <w:p w14:paraId="4B22CDC4" w14:textId="77777777" w:rsidR="008423E4" w:rsidRPr="00A8133F" w:rsidRDefault="00AF0057" w:rsidP="003653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3CC560" w14:textId="77777777" w:rsidR="008423E4" w:rsidRPr="00C977DA" w:rsidRDefault="008423E4" w:rsidP="003653AA">
            <w:pPr>
              <w:rPr>
                <w:sz w:val="14"/>
              </w:rPr>
            </w:pPr>
          </w:p>
          <w:p w14:paraId="20818921" w14:textId="38873A5B" w:rsidR="007A06DD" w:rsidRDefault="00AF0057" w:rsidP="003653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1012 amends the Property Code to </w:t>
            </w:r>
            <w:r w:rsidR="005B2DCE">
              <w:t>require</w:t>
            </w:r>
            <w:r>
              <w:t xml:space="preserve"> a person</w:t>
            </w:r>
            <w:r w:rsidR="005B2DCE">
              <w:t xml:space="preserve"> </w:t>
            </w:r>
            <w:r>
              <w:t xml:space="preserve">applying for a writ </w:t>
            </w:r>
            <w:r w:rsidRPr="00C02914">
              <w:t xml:space="preserve">authorizing </w:t>
            </w:r>
            <w:r w:rsidRPr="00FC6441">
              <w:t>the person to enter the</w:t>
            </w:r>
            <w:r w:rsidR="004C5DC2">
              <w:t>ir</w:t>
            </w:r>
            <w:r w:rsidRPr="00FC6441">
              <w:t xml:space="preserve"> residence </w:t>
            </w:r>
            <w:r>
              <w:t xml:space="preserve">or former residence </w:t>
            </w:r>
            <w:r w:rsidRPr="00FC6441">
              <w:t xml:space="preserve">accompanied by a peace officer </w:t>
            </w:r>
            <w:r w:rsidR="00371CA5">
              <w:t xml:space="preserve">in order </w:t>
            </w:r>
            <w:r w:rsidRPr="00FC6441">
              <w:t>to retrieve specific items of personal property</w:t>
            </w:r>
            <w:r>
              <w:t xml:space="preserve"> to apply to the following</w:t>
            </w:r>
            <w:r w:rsidR="00371CA5">
              <w:t xml:space="preserve"> courts</w:t>
            </w:r>
            <w:r>
              <w:t>:</w:t>
            </w:r>
          </w:p>
          <w:p w14:paraId="1FF9B1BC" w14:textId="051AFE51" w:rsidR="007A06DD" w:rsidRDefault="00AF0057" w:rsidP="003653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court in which the suit is pending</w:t>
            </w:r>
            <w:r w:rsidR="00371CA5">
              <w:t>, if the person and the current occupant are parties to a pending suit relating to the marriage relationship</w:t>
            </w:r>
            <w:r>
              <w:t>;</w:t>
            </w:r>
          </w:p>
          <w:p w14:paraId="4A28F440" w14:textId="161DAB2B" w:rsidR="007A06DD" w:rsidRDefault="00AF0057" w:rsidP="003653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court having jurisdiction of the divorce or annulment action, </w:t>
            </w:r>
            <w:r w:rsidR="00712DB9">
              <w:t xml:space="preserve">if the person's right to possession of the items described in the application is </w:t>
            </w:r>
            <w:r w:rsidR="005B2DCE">
              <w:t>subject to</w:t>
            </w:r>
            <w:r w:rsidR="00712DB9">
              <w:t xml:space="preserve"> a decree of divorce or annulment to which the person and the current occupant are </w:t>
            </w:r>
            <w:r w:rsidR="005B2DCE">
              <w:t>parties</w:t>
            </w:r>
            <w:r w:rsidR="007F02AA">
              <w:t>;</w:t>
            </w:r>
            <w:r w:rsidR="005B2DCE">
              <w:t xml:space="preserve"> or</w:t>
            </w:r>
          </w:p>
          <w:p w14:paraId="5B657BFA" w14:textId="7CB25807" w:rsidR="007A06DD" w:rsidRDefault="00AF0057" w:rsidP="003653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justice court</w:t>
            </w:r>
            <w:r w:rsidR="00371CA5">
              <w:t>, if neither condition applies.</w:t>
            </w:r>
          </w:p>
          <w:p w14:paraId="4190116B" w14:textId="405E5A6D" w:rsidR="004D4A60" w:rsidRDefault="00AF0057" w:rsidP="003653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4C5DC2">
              <w:t xml:space="preserve">requires </w:t>
            </w:r>
            <w:r w:rsidR="00EE282A">
              <w:t>an</w:t>
            </w:r>
            <w:r w:rsidR="004C5DC2">
              <w:t xml:space="preserve"> application for such a writ to certify whether, to the best of the applicant's knowledge,</w:t>
            </w:r>
            <w:r>
              <w:t xml:space="preserve"> </w:t>
            </w:r>
            <w:r w:rsidR="00EE282A">
              <w:t>either of those</w:t>
            </w:r>
            <w:r>
              <w:t xml:space="preserve"> condition</w:t>
            </w:r>
            <w:r w:rsidR="00EE282A">
              <w:t>s</w:t>
            </w:r>
            <w:r>
              <w:t xml:space="preserve"> applies</w:t>
            </w:r>
            <w:r w:rsidR="00615A43">
              <w:t>.</w:t>
            </w:r>
            <w:r>
              <w:t xml:space="preserve"> </w:t>
            </w:r>
            <w:r w:rsidR="00EE282A">
              <w:t>The bill includes the following among the types of personal items loc</w:t>
            </w:r>
            <w:r w:rsidR="00361317">
              <w:t>ated in the residence</w:t>
            </w:r>
            <w:r w:rsidR="007F0EBA">
              <w:t xml:space="preserve"> that </w:t>
            </w:r>
            <w:r w:rsidR="00EE282A">
              <w:t xml:space="preserve">an </w:t>
            </w:r>
            <w:r w:rsidR="007F0EBA">
              <w:t xml:space="preserve">application </w:t>
            </w:r>
            <w:r w:rsidR="00361317">
              <w:t xml:space="preserve">may </w:t>
            </w:r>
            <w:r w:rsidR="007F0EBA">
              <w:t>allege</w:t>
            </w:r>
            <w:r w:rsidR="004D39B7" w:rsidRPr="004D39B7">
              <w:t xml:space="preserve"> that the applicant or the applicant's dependent requires</w:t>
            </w:r>
            <w:r>
              <w:t>:</w:t>
            </w:r>
          </w:p>
          <w:p w14:paraId="3059DD72" w14:textId="6E90C885" w:rsidR="004D39B7" w:rsidRDefault="00AF0057" w:rsidP="003653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assistance animals or service animals used by the applicant or dependent;</w:t>
            </w:r>
          </w:p>
          <w:p w14:paraId="14569342" w14:textId="436992FF" w:rsidR="004D39B7" w:rsidRDefault="00AF0057" w:rsidP="003653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wireless communication device</w:t>
            </w:r>
            <w:r>
              <w:t>s</w:t>
            </w:r>
            <w:r w:rsidR="00A36585">
              <w:t xml:space="preserve"> </w:t>
            </w:r>
            <w:r>
              <w:t xml:space="preserve">of the applicant or dependent; </w:t>
            </w:r>
            <w:r w:rsidR="00046E91">
              <w:t>and</w:t>
            </w:r>
          </w:p>
          <w:p w14:paraId="636CC04D" w14:textId="068DCDB4" w:rsidR="009C36CD" w:rsidRPr="009C36CD" w:rsidRDefault="00AF0057" w:rsidP="003653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tools, equipment, books, and apparatus used by the applicant in the applicant's trade or profession</w:t>
            </w:r>
            <w:r w:rsidR="00712DB9">
              <w:t xml:space="preserve">. </w:t>
            </w:r>
          </w:p>
          <w:p w14:paraId="5E1A2E4D" w14:textId="77777777" w:rsidR="008423E4" w:rsidRPr="00835628" w:rsidRDefault="008423E4" w:rsidP="003653AA">
            <w:pPr>
              <w:rPr>
                <w:b/>
              </w:rPr>
            </w:pPr>
          </w:p>
        </w:tc>
      </w:tr>
      <w:tr w:rsidR="00D27F1E" w14:paraId="43E29D55" w14:textId="77777777" w:rsidTr="00345119">
        <w:tc>
          <w:tcPr>
            <w:tcW w:w="9576" w:type="dxa"/>
          </w:tcPr>
          <w:p w14:paraId="1B7D23E2" w14:textId="77777777" w:rsidR="008423E4" w:rsidRPr="00A8133F" w:rsidRDefault="00AF0057" w:rsidP="003653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D64B0D" w14:textId="77777777" w:rsidR="008423E4" w:rsidRPr="00C977DA" w:rsidRDefault="008423E4" w:rsidP="003653AA">
            <w:pPr>
              <w:rPr>
                <w:sz w:val="14"/>
              </w:rPr>
            </w:pPr>
          </w:p>
          <w:p w14:paraId="6D287377" w14:textId="0284C618" w:rsidR="008423E4" w:rsidRPr="00233FDB" w:rsidRDefault="00AF0057" w:rsidP="00C977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2021.</w:t>
            </w:r>
          </w:p>
        </w:tc>
      </w:tr>
    </w:tbl>
    <w:p w14:paraId="67BA9E84" w14:textId="77777777" w:rsidR="008423E4" w:rsidRPr="00BE0E75" w:rsidRDefault="008423E4" w:rsidP="00C977DA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FD15" w14:textId="77777777" w:rsidR="00000000" w:rsidRDefault="00AF0057">
      <w:r>
        <w:separator/>
      </w:r>
    </w:p>
  </w:endnote>
  <w:endnote w:type="continuationSeparator" w:id="0">
    <w:p w14:paraId="175A20C4" w14:textId="77777777" w:rsidR="00000000" w:rsidRDefault="00A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F6F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7F1E" w14:paraId="05810665" w14:textId="77777777" w:rsidTr="009C1E9A">
      <w:trPr>
        <w:cantSplit/>
      </w:trPr>
      <w:tc>
        <w:tcPr>
          <w:tcW w:w="0" w:type="pct"/>
        </w:tcPr>
        <w:p w14:paraId="38E612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6DF8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D6E5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2AD7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94E0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F1E" w14:paraId="6279C8E6" w14:textId="77777777" w:rsidTr="009C1E9A">
      <w:trPr>
        <w:cantSplit/>
      </w:trPr>
      <w:tc>
        <w:tcPr>
          <w:tcW w:w="0" w:type="pct"/>
        </w:tcPr>
        <w:p w14:paraId="41DF16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5EB863" w14:textId="60985752" w:rsidR="00EC379B" w:rsidRPr="009C1E9A" w:rsidRDefault="00AF00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16989</w:t>
          </w:r>
        </w:p>
      </w:tc>
      <w:tc>
        <w:tcPr>
          <w:tcW w:w="2453" w:type="pct"/>
        </w:tcPr>
        <w:p w14:paraId="1AD46D82" w14:textId="5CD69901" w:rsidR="00EC379B" w:rsidRDefault="00AF00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53AA">
            <w:t>21.84.653</w:t>
          </w:r>
          <w:r>
            <w:fldChar w:fldCharType="end"/>
          </w:r>
        </w:p>
      </w:tc>
    </w:tr>
    <w:tr w:rsidR="00D27F1E" w14:paraId="5BC77EE9" w14:textId="77777777" w:rsidTr="009C1E9A">
      <w:trPr>
        <w:cantSplit/>
      </w:trPr>
      <w:tc>
        <w:tcPr>
          <w:tcW w:w="0" w:type="pct"/>
        </w:tcPr>
        <w:p w14:paraId="751D13F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94DB7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4B3C5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AA1A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F1E" w14:paraId="2B8AB3A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5C8564" w14:textId="6220B441" w:rsidR="00EC379B" w:rsidRDefault="00AF00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977D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7611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1B82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2E7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1C5D" w14:textId="77777777" w:rsidR="00000000" w:rsidRDefault="00AF0057">
      <w:r>
        <w:separator/>
      </w:r>
    </w:p>
  </w:footnote>
  <w:footnote w:type="continuationSeparator" w:id="0">
    <w:p w14:paraId="7D7EF99B" w14:textId="77777777" w:rsidR="00000000" w:rsidRDefault="00AF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D69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6D1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DE0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6F17"/>
    <w:multiLevelType w:val="hybridMultilevel"/>
    <w:tmpl w:val="2E246382"/>
    <w:lvl w:ilvl="0" w:tplc="0FB62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43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7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8B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D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2F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05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A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E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6033"/>
    <w:multiLevelType w:val="hybridMultilevel"/>
    <w:tmpl w:val="C428D416"/>
    <w:lvl w:ilvl="0" w:tplc="7688E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66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45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85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21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A7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2F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46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EF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E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E91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B3F"/>
    <w:rsid w:val="001312BB"/>
    <w:rsid w:val="00137D90"/>
    <w:rsid w:val="00141FB6"/>
    <w:rsid w:val="00142F8E"/>
    <w:rsid w:val="00143C8B"/>
    <w:rsid w:val="00147530"/>
    <w:rsid w:val="0015331F"/>
    <w:rsid w:val="0015393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C18"/>
    <w:rsid w:val="002D305A"/>
    <w:rsid w:val="002E21B8"/>
    <w:rsid w:val="002E4456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317"/>
    <w:rsid w:val="00361FE9"/>
    <w:rsid w:val="003624F2"/>
    <w:rsid w:val="00363854"/>
    <w:rsid w:val="00364315"/>
    <w:rsid w:val="003643E2"/>
    <w:rsid w:val="003653AA"/>
    <w:rsid w:val="00370155"/>
    <w:rsid w:val="003712D5"/>
    <w:rsid w:val="00371CA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AA6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DC2"/>
    <w:rsid w:val="004C5F34"/>
    <w:rsid w:val="004C600C"/>
    <w:rsid w:val="004C7888"/>
    <w:rsid w:val="004D1AC9"/>
    <w:rsid w:val="004D27DE"/>
    <w:rsid w:val="004D39B7"/>
    <w:rsid w:val="004D3F41"/>
    <w:rsid w:val="004D4A60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4F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80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6CA"/>
    <w:rsid w:val="005666D5"/>
    <w:rsid w:val="005669A7"/>
    <w:rsid w:val="00573401"/>
    <w:rsid w:val="00576714"/>
    <w:rsid w:val="0057685A"/>
    <w:rsid w:val="005847EF"/>
    <w:rsid w:val="005851E6"/>
    <w:rsid w:val="005878B7"/>
    <w:rsid w:val="00587DEE"/>
    <w:rsid w:val="00592C9A"/>
    <w:rsid w:val="00593DF8"/>
    <w:rsid w:val="00595745"/>
    <w:rsid w:val="005A0E18"/>
    <w:rsid w:val="005A12A5"/>
    <w:rsid w:val="005A3790"/>
    <w:rsid w:val="005A3CCB"/>
    <w:rsid w:val="005A682C"/>
    <w:rsid w:val="005A6D13"/>
    <w:rsid w:val="005B031F"/>
    <w:rsid w:val="005B2DCE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A43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20A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B9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6DD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E00"/>
    <w:rsid w:val="007E33B6"/>
    <w:rsid w:val="007E59E8"/>
    <w:rsid w:val="007F02AA"/>
    <w:rsid w:val="007F0EBA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9E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5C"/>
    <w:rsid w:val="0086231A"/>
    <w:rsid w:val="0086477C"/>
    <w:rsid w:val="00864BAD"/>
    <w:rsid w:val="00866F9D"/>
    <w:rsid w:val="008673D9"/>
    <w:rsid w:val="00871775"/>
    <w:rsid w:val="00871AEF"/>
    <w:rsid w:val="00871E9A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365F"/>
    <w:rsid w:val="008D58F9"/>
    <w:rsid w:val="008E3338"/>
    <w:rsid w:val="008E47BE"/>
    <w:rsid w:val="008F09DF"/>
    <w:rsid w:val="008F1CC2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136A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585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680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05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885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ABA"/>
    <w:rsid w:val="00BF4949"/>
    <w:rsid w:val="00BF4D7C"/>
    <w:rsid w:val="00BF5085"/>
    <w:rsid w:val="00C013F4"/>
    <w:rsid w:val="00C0291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F1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4E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7DA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A4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094"/>
    <w:rsid w:val="00D22160"/>
    <w:rsid w:val="00D22172"/>
    <w:rsid w:val="00D2301B"/>
    <w:rsid w:val="00D239EE"/>
    <w:rsid w:val="00D27F1E"/>
    <w:rsid w:val="00D30534"/>
    <w:rsid w:val="00D356FD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9A0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82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C34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75E"/>
    <w:rsid w:val="00F9735A"/>
    <w:rsid w:val="00FA32FC"/>
    <w:rsid w:val="00FA59FD"/>
    <w:rsid w:val="00FA5D8C"/>
    <w:rsid w:val="00FA6403"/>
    <w:rsid w:val="00FB16CD"/>
    <w:rsid w:val="00FB73AE"/>
    <w:rsid w:val="00FC5388"/>
    <w:rsid w:val="00FC6441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1ED677-BA49-418B-BF8B-B4DBB52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2D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D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6CA"/>
    <w:rPr>
      <w:b/>
      <w:bCs/>
    </w:rPr>
  </w:style>
  <w:style w:type="paragraph" w:styleId="Revision">
    <w:name w:val="Revision"/>
    <w:hidden/>
    <w:uiPriority w:val="99"/>
    <w:semiHidden/>
    <w:rsid w:val="00524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2260</Characters>
  <Application>Microsoft Office Word</Application>
  <DocSecurity>4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HB01012 (Committee Report (Unamended))</vt:lpstr>
    </vt:vector>
  </TitlesOfParts>
  <Company>State of Texas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16989</dc:subject>
  <dc:creator>State of Texas</dc:creator>
  <dc:description>HB 1012 by Dutton-(H)Juvenile Justice &amp; Family Issues</dc:description>
  <cp:lastModifiedBy>Stacey Nicchio</cp:lastModifiedBy>
  <cp:revision>2</cp:revision>
  <cp:lastPrinted>2003-11-26T17:21:00Z</cp:lastPrinted>
  <dcterms:created xsi:type="dcterms:W3CDTF">2021-03-30T21:17:00Z</dcterms:created>
  <dcterms:modified xsi:type="dcterms:W3CDTF">2021-03-30T21:17:00Z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21.84.653</vt:lpwstr>
  </property>
</Properties>
</file>