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F451AE" w14:paraId="7DAA09B3" w14:textId="77777777" w:rsidTr="00345119">
        <w:tc>
          <w:tcPr>
            <w:tcW w:w="9576" w:type="dxa"/>
            <w:noWrap/>
          </w:tcPr>
          <w:p w14:paraId="6B42D31E" w14:textId="77777777" w:rsidR="008423E4" w:rsidRPr="0022177D" w:rsidRDefault="00137ADF" w:rsidP="009E5C33">
            <w:pPr>
              <w:pStyle w:val="Heading1"/>
            </w:pPr>
            <w:bookmarkStart w:id="0" w:name="_GoBack"/>
            <w:bookmarkEnd w:id="0"/>
            <w:r w:rsidRPr="00631897">
              <w:t>BILL ANALYSIS</w:t>
            </w:r>
          </w:p>
        </w:tc>
      </w:tr>
    </w:tbl>
    <w:p w14:paraId="7F431621" w14:textId="77777777" w:rsidR="008423E4" w:rsidRPr="0022177D" w:rsidRDefault="008423E4" w:rsidP="009E5C33">
      <w:pPr>
        <w:jc w:val="center"/>
      </w:pPr>
    </w:p>
    <w:p w14:paraId="4BB4E4CD" w14:textId="77777777" w:rsidR="008423E4" w:rsidRPr="00B31F0E" w:rsidRDefault="008423E4" w:rsidP="009E5C33"/>
    <w:p w14:paraId="75BA6D34" w14:textId="77777777" w:rsidR="008423E4" w:rsidRPr="00742794" w:rsidRDefault="008423E4" w:rsidP="009E5C33">
      <w:pPr>
        <w:tabs>
          <w:tab w:val="right" w:pos="9360"/>
        </w:tabs>
      </w:pPr>
    </w:p>
    <w:tbl>
      <w:tblPr>
        <w:tblW w:w="0" w:type="auto"/>
        <w:tblLayout w:type="fixed"/>
        <w:tblLook w:val="01E0" w:firstRow="1" w:lastRow="1" w:firstColumn="1" w:lastColumn="1" w:noHBand="0" w:noVBand="0"/>
      </w:tblPr>
      <w:tblGrid>
        <w:gridCol w:w="9576"/>
      </w:tblGrid>
      <w:tr w:rsidR="00F451AE" w14:paraId="69B5FFC6" w14:textId="77777777" w:rsidTr="00345119">
        <w:tc>
          <w:tcPr>
            <w:tcW w:w="9576" w:type="dxa"/>
          </w:tcPr>
          <w:p w14:paraId="0BFC50D7" w14:textId="6FF6A10B" w:rsidR="008423E4" w:rsidRPr="00861995" w:rsidRDefault="00137ADF" w:rsidP="009E5C33">
            <w:pPr>
              <w:jc w:val="right"/>
            </w:pPr>
            <w:r>
              <w:t>H.B. 1153</w:t>
            </w:r>
          </w:p>
        </w:tc>
      </w:tr>
      <w:tr w:rsidR="00F451AE" w14:paraId="6D063FBD" w14:textId="77777777" w:rsidTr="00345119">
        <w:tc>
          <w:tcPr>
            <w:tcW w:w="9576" w:type="dxa"/>
          </w:tcPr>
          <w:p w14:paraId="06224D90" w14:textId="62B6EEB1" w:rsidR="008423E4" w:rsidRPr="00861995" w:rsidRDefault="00137ADF" w:rsidP="009E5C33">
            <w:pPr>
              <w:jc w:val="right"/>
            </w:pPr>
            <w:r>
              <w:t xml:space="preserve">By: </w:t>
            </w:r>
            <w:r w:rsidR="00B34240">
              <w:t>Vo</w:t>
            </w:r>
          </w:p>
        </w:tc>
      </w:tr>
      <w:tr w:rsidR="00F451AE" w14:paraId="4E6EC301" w14:textId="77777777" w:rsidTr="00345119">
        <w:tc>
          <w:tcPr>
            <w:tcW w:w="9576" w:type="dxa"/>
          </w:tcPr>
          <w:p w14:paraId="23C818DE" w14:textId="7263D943" w:rsidR="008423E4" w:rsidRPr="00861995" w:rsidRDefault="00137ADF" w:rsidP="009E5C33">
            <w:pPr>
              <w:jc w:val="right"/>
            </w:pPr>
            <w:r>
              <w:t>Business &amp; Industry</w:t>
            </w:r>
          </w:p>
        </w:tc>
      </w:tr>
      <w:tr w:rsidR="00F451AE" w14:paraId="37F4B272" w14:textId="77777777" w:rsidTr="00345119">
        <w:tc>
          <w:tcPr>
            <w:tcW w:w="9576" w:type="dxa"/>
          </w:tcPr>
          <w:p w14:paraId="0A3BECB6" w14:textId="0DE25099" w:rsidR="008423E4" w:rsidRDefault="00137ADF" w:rsidP="009E5C33">
            <w:pPr>
              <w:jc w:val="right"/>
            </w:pPr>
            <w:r>
              <w:t>Committee Report (Unamended)</w:t>
            </w:r>
          </w:p>
        </w:tc>
      </w:tr>
    </w:tbl>
    <w:p w14:paraId="416E9F53" w14:textId="77777777" w:rsidR="008423E4" w:rsidRDefault="008423E4" w:rsidP="009E5C33">
      <w:pPr>
        <w:tabs>
          <w:tab w:val="right" w:pos="9360"/>
        </w:tabs>
      </w:pPr>
    </w:p>
    <w:p w14:paraId="4BE2F9CF" w14:textId="77777777" w:rsidR="008423E4" w:rsidRDefault="008423E4" w:rsidP="009E5C33"/>
    <w:p w14:paraId="5D965F0D" w14:textId="77777777" w:rsidR="008423E4" w:rsidRDefault="008423E4" w:rsidP="009E5C33"/>
    <w:tbl>
      <w:tblPr>
        <w:tblW w:w="0" w:type="auto"/>
        <w:tblCellMar>
          <w:left w:w="115" w:type="dxa"/>
          <w:right w:w="115" w:type="dxa"/>
        </w:tblCellMar>
        <w:tblLook w:val="01E0" w:firstRow="1" w:lastRow="1" w:firstColumn="1" w:lastColumn="1" w:noHBand="0" w:noVBand="0"/>
      </w:tblPr>
      <w:tblGrid>
        <w:gridCol w:w="9360"/>
      </w:tblGrid>
      <w:tr w:rsidR="00F451AE" w14:paraId="22C38583" w14:textId="77777777" w:rsidTr="00345119">
        <w:tc>
          <w:tcPr>
            <w:tcW w:w="9576" w:type="dxa"/>
          </w:tcPr>
          <w:p w14:paraId="6CC9624B" w14:textId="77777777" w:rsidR="008423E4" w:rsidRPr="00A8133F" w:rsidRDefault="00137ADF" w:rsidP="009E5C33">
            <w:pPr>
              <w:rPr>
                <w:b/>
              </w:rPr>
            </w:pPr>
            <w:r w:rsidRPr="009C1E9A">
              <w:rPr>
                <w:b/>
                <w:u w:val="single"/>
              </w:rPr>
              <w:t>BACKGROUND AND PURPOSE</w:t>
            </w:r>
            <w:r>
              <w:rPr>
                <w:b/>
              </w:rPr>
              <w:t xml:space="preserve"> </w:t>
            </w:r>
          </w:p>
          <w:p w14:paraId="04CCB8A8" w14:textId="77777777" w:rsidR="008423E4" w:rsidRDefault="008423E4" w:rsidP="009E5C33"/>
          <w:p w14:paraId="3CD4BD9A" w14:textId="38DCCB3A" w:rsidR="008423E4" w:rsidRDefault="00137ADF" w:rsidP="009E5C33">
            <w:pPr>
              <w:pStyle w:val="Header"/>
              <w:tabs>
                <w:tab w:val="clear" w:pos="4320"/>
                <w:tab w:val="clear" w:pos="8640"/>
              </w:tabs>
              <w:jc w:val="both"/>
            </w:pPr>
            <w:r w:rsidRPr="00BA4050">
              <w:t xml:space="preserve">The Texas Fair Housing Act (TFHA) and the U.S. Fair Housing Act </w:t>
            </w:r>
            <w:r w:rsidR="00431AC2">
              <w:t xml:space="preserve">(FHA) </w:t>
            </w:r>
            <w:r w:rsidRPr="00BA4050">
              <w:t xml:space="preserve">protect Texans from discriminatory housing practices in the sale, </w:t>
            </w:r>
            <w:r w:rsidRPr="00BA4050">
              <w:t>rental</w:t>
            </w:r>
            <w:r w:rsidR="000C6D65">
              <w:t>,</w:t>
            </w:r>
            <w:r w:rsidRPr="00BA4050">
              <w:t xml:space="preserve"> and financing of dwellings based on race, color, national origin, religion, sex, physical or mental disability, or familial status. The TFHA is enforced by the Texas Workforce Commission Civil Rights Division (CRD</w:t>
            </w:r>
            <w:r w:rsidR="006440A3">
              <w:t xml:space="preserve">) </w:t>
            </w:r>
            <w:r w:rsidR="000C6D65">
              <w:t>and</w:t>
            </w:r>
            <w:r w:rsidRPr="00BA4050">
              <w:t xml:space="preserve"> currently </w:t>
            </w:r>
            <w:r w:rsidR="000C6D65">
              <w:t xml:space="preserve">provides </w:t>
            </w:r>
            <w:r w:rsidRPr="00BA4050">
              <w:t>two exempt</w:t>
            </w:r>
            <w:r w:rsidRPr="00BA4050">
              <w:t>ions for individual owners from liability</w:t>
            </w:r>
            <w:r w:rsidR="000C6D65">
              <w:t xml:space="preserve"> resulting from the violation of certain anti-discrimination provisions</w:t>
            </w:r>
            <w:r w:rsidRPr="00BA4050">
              <w:t xml:space="preserve">. The first exemption generally involves </w:t>
            </w:r>
            <w:r w:rsidR="006440A3">
              <w:t>an individual</w:t>
            </w:r>
            <w:r w:rsidR="006440A3" w:rsidRPr="00BA4050">
              <w:t xml:space="preserve"> </w:t>
            </w:r>
            <w:r w:rsidRPr="00BA4050">
              <w:t>who does not own more than three single-family houses at any one time</w:t>
            </w:r>
            <w:r w:rsidR="000C6D65">
              <w:t xml:space="preserve"> while t</w:t>
            </w:r>
            <w:r w:rsidRPr="00BA4050">
              <w:t>he second ex</w:t>
            </w:r>
            <w:r w:rsidRPr="00BA4050">
              <w:t xml:space="preserve">emption covers </w:t>
            </w:r>
            <w:r w:rsidR="006440A3">
              <w:t>an individual</w:t>
            </w:r>
            <w:r w:rsidR="006440A3" w:rsidRPr="00BA4050">
              <w:t xml:space="preserve"> </w:t>
            </w:r>
            <w:r w:rsidRPr="00BA4050">
              <w:t xml:space="preserve">who has a home with living quarters occupied by </w:t>
            </w:r>
            <w:r w:rsidR="00896C82">
              <w:t>a maximum of</w:t>
            </w:r>
            <w:r w:rsidRPr="00BA4050">
              <w:t xml:space="preserve"> four</w:t>
            </w:r>
            <w:r w:rsidR="00730997">
              <w:t xml:space="preserve"> families</w:t>
            </w:r>
            <w:r w:rsidRPr="00BA4050">
              <w:t>. However</w:t>
            </w:r>
            <w:r w:rsidR="006440A3">
              <w:t xml:space="preserve">, </w:t>
            </w:r>
            <w:r w:rsidRPr="00BA4050">
              <w:t>HUD stated in a</w:t>
            </w:r>
            <w:r w:rsidR="006440A3">
              <w:t xml:space="preserve"> recent</w:t>
            </w:r>
            <w:r w:rsidRPr="00BA4050">
              <w:t xml:space="preserve"> letter to CRD that there are exceptions to these exemptions that exist in federal law but not state law</w:t>
            </w:r>
            <w:r w:rsidR="00730997">
              <w:t xml:space="preserve"> and that failure</w:t>
            </w:r>
            <w:r w:rsidRPr="00BA4050">
              <w:t xml:space="preserve"> to conform to federal law may result in CRD losing certification with HUD </w:t>
            </w:r>
            <w:r w:rsidR="006440A3">
              <w:t>or</w:t>
            </w:r>
            <w:r w:rsidR="006440A3" w:rsidRPr="00BA4050">
              <w:t xml:space="preserve"> </w:t>
            </w:r>
            <w:r w:rsidRPr="00BA4050">
              <w:t>federal funds.</w:t>
            </w:r>
            <w:r>
              <w:t xml:space="preserve"> </w:t>
            </w:r>
            <w:r w:rsidR="00730997">
              <w:t xml:space="preserve">H.B. 1153 seeks to remedy this situation by </w:t>
            </w:r>
            <w:r w:rsidRPr="00BA4050">
              <w:t>bring</w:t>
            </w:r>
            <w:r w:rsidR="00730997">
              <w:t>ing</w:t>
            </w:r>
            <w:r w:rsidRPr="00BA4050">
              <w:t xml:space="preserve"> the TFHA into compliance with the federal FHA.</w:t>
            </w:r>
          </w:p>
          <w:p w14:paraId="487A9C1B" w14:textId="77777777" w:rsidR="008423E4" w:rsidRPr="00E26B13" w:rsidRDefault="008423E4" w:rsidP="009E5C33">
            <w:pPr>
              <w:rPr>
                <w:b/>
              </w:rPr>
            </w:pPr>
          </w:p>
        </w:tc>
      </w:tr>
      <w:tr w:rsidR="00F451AE" w14:paraId="7F7D5CD6" w14:textId="77777777" w:rsidTr="00345119">
        <w:tc>
          <w:tcPr>
            <w:tcW w:w="9576" w:type="dxa"/>
          </w:tcPr>
          <w:p w14:paraId="41E5B3ED" w14:textId="77777777" w:rsidR="0017725B" w:rsidRDefault="00137ADF" w:rsidP="009E5C33">
            <w:pPr>
              <w:rPr>
                <w:b/>
                <w:u w:val="single"/>
              </w:rPr>
            </w:pPr>
            <w:r>
              <w:rPr>
                <w:b/>
                <w:u w:val="single"/>
              </w:rPr>
              <w:t>CRIMINAL JUSTICE IMPACT</w:t>
            </w:r>
          </w:p>
          <w:p w14:paraId="243473ED" w14:textId="77777777" w:rsidR="0017725B" w:rsidRDefault="0017725B" w:rsidP="009E5C33">
            <w:pPr>
              <w:rPr>
                <w:b/>
                <w:u w:val="single"/>
              </w:rPr>
            </w:pPr>
          </w:p>
          <w:p w14:paraId="0B5002FF" w14:textId="77777777" w:rsidR="002B35E6" w:rsidRPr="002B35E6" w:rsidRDefault="00137ADF" w:rsidP="009E5C33">
            <w:pPr>
              <w:jc w:val="both"/>
            </w:pPr>
            <w:r>
              <w:t xml:space="preserve">It is the committee's opinion that </w:t>
            </w:r>
            <w:r>
              <w:t>this bill does not expressly create a criminal offense, increase the punishment for an existing criminal offense or category of offenses, or change the eligibility of a person for community supervision, parole, or mandatory supervision.</w:t>
            </w:r>
          </w:p>
          <w:p w14:paraId="178FB772" w14:textId="77777777" w:rsidR="0017725B" w:rsidRPr="0017725B" w:rsidRDefault="0017725B" w:rsidP="009E5C33">
            <w:pPr>
              <w:rPr>
                <w:b/>
                <w:u w:val="single"/>
              </w:rPr>
            </w:pPr>
          </w:p>
        </w:tc>
      </w:tr>
      <w:tr w:rsidR="00F451AE" w14:paraId="1B7E56E0" w14:textId="77777777" w:rsidTr="00345119">
        <w:tc>
          <w:tcPr>
            <w:tcW w:w="9576" w:type="dxa"/>
          </w:tcPr>
          <w:p w14:paraId="075F8870" w14:textId="77777777" w:rsidR="008423E4" w:rsidRPr="00A8133F" w:rsidRDefault="00137ADF" w:rsidP="009E5C33">
            <w:pPr>
              <w:rPr>
                <w:b/>
              </w:rPr>
            </w:pPr>
            <w:r w:rsidRPr="009C1E9A">
              <w:rPr>
                <w:b/>
                <w:u w:val="single"/>
              </w:rPr>
              <w:t>RULEMAKING AUTHOR</w:t>
            </w:r>
            <w:r w:rsidRPr="009C1E9A">
              <w:rPr>
                <w:b/>
                <w:u w:val="single"/>
              </w:rPr>
              <w:t>ITY</w:t>
            </w:r>
            <w:r>
              <w:rPr>
                <w:b/>
              </w:rPr>
              <w:t xml:space="preserve"> </w:t>
            </w:r>
          </w:p>
          <w:p w14:paraId="7701EC8D" w14:textId="77777777" w:rsidR="008423E4" w:rsidRDefault="008423E4" w:rsidP="009E5C33"/>
          <w:p w14:paraId="1FDCE273" w14:textId="77777777" w:rsidR="002B35E6" w:rsidRDefault="00137ADF" w:rsidP="009E5C33">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77E807C0" w14:textId="77777777" w:rsidR="008423E4" w:rsidRPr="00E21FDC" w:rsidRDefault="008423E4" w:rsidP="009E5C33">
            <w:pPr>
              <w:rPr>
                <w:b/>
              </w:rPr>
            </w:pPr>
          </w:p>
        </w:tc>
      </w:tr>
      <w:tr w:rsidR="00F451AE" w14:paraId="71A752EB" w14:textId="77777777" w:rsidTr="00345119">
        <w:tc>
          <w:tcPr>
            <w:tcW w:w="9576" w:type="dxa"/>
          </w:tcPr>
          <w:p w14:paraId="58D7883F" w14:textId="77777777" w:rsidR="008423E4" w:rsidRPr="00A8133F" w:rsidRDefault="00137ADF" w:rsidP="009E5C33">
            <w:pPr>
              <w:rPr>
                <w:b/>
              </w:rPr>
            </w:pPr>
            <w:r w:rsidRPr="009C1E9A">
              <w:rPr>
                <w:b/>
                <w:u w:val="single"/>
              </w:rPr>
              <w:t>ANALYSIS</w:t>
            </w:r>
            <w:r>
              <w:rPr>
                <w:b/>
              </w:rPr>
              <w:t xml:space="preserve"> </w:t>
            </w:r>
          </w:p>
          <w:p w14:paraId="5F92AD8E" w14:textId="77777777" w:rsidR="008423E4" w:rsidRDefault="008423E4" w:rsidP="009E5C33"/>
          <w:p w14:paraId="57E6ECDA" w14:textId="0B80992A" w:rsidR="005A2CF1" w:rsidRDefault="00137ADF" w:rsidP="009E5C33">
            <w:pPr>
              <w:pStyle w:val="Header"/>
              <w:tabs>
                <w:tab w:val="clear" w:pos="4320"/>
                <w:tab w:val="clear" w:pos="8640"/>
              </w:tabs>
              <w:jc w:val="both"/>
            </w:pPr>
            <w:r>
              <w:t xml:space="preserve">H.B. 1153 amends the Property Code to </w:t>
            </w:r>
            <w:r w:rsidR="00DB2E5E">
              <w:t>revise an exemption to</w:t>
            </w:r>
            <w:r w:rsidR="00D66F07">
              <w:t xml:space="preserve"> certain </w:t>
            </w:r>
            <w:r w:rsidR="00DB2E5E">
              <w:t xml:space="preserve">anti-discrimination </w:t>
            </w:r>
            <w:r w:rsidR="00D66F07">
              <w:t xml:space="preserve">provisions </w:t>
            </w:r>
            <w:r w:rsidR="00DB2E5E">
              <w:t xml:space="preserve">of </w:t>
            </w:r>
            <w:r w:rsidR="00D66F07">
              <w:t xml:space="preserve">the Texas Fair Housing Act </w:t>
            </w:r>
            <w:r w:rsidR="00DB2E5E">
              <w:t>for certain</w:t>
            </w:r>
            <w:r w:rsidR="00BF725D">
              <w:t xml:space="preserve"> </w:t>
            </w:r>
            <w:r w:rsidR="00DB2E5E">
              <w:t>sales or rentals</w:t>
            </w:r>
            <w:r w:rsidR="00BF725D" w:rsidRPr="00BF725D">
              <w:t xml:space="preserve"> of a single-family house</w:t>
            </w:r>
            <w:r w:rsidR="00BF725D">
              <w:t xml:space="preserve"> by the </w:t>
            </w:r>
            <w:r w:rsidR="007B55FB">
              <w:t xml:space="preserve">house's </w:t>
            </w:r>
            <w:r w:rsidR="00BF725D">
              <w:t xml:space="preserve">owner </w:t>
            </w:r>
            <w:r w:rsidR="009822C2">
              <w:t>as follows</w:t>
            </w:r>
            <w:r>
              <w:t>:</w:t>
            </w:r>
          </w:p>
          <w:p w14:paraId="2E783F52" w14:textId="1E88C867" w:rsidR="005A2CF1" w:rsidRDefault="00137ADF" w:rsidP="009E5C33">
            <w:pPr>
              <w:pStyle w:val="Header"/>
              <w:numPr>
                <w:ilvl w:val="0"/>
                <w:numId w:val="2"/>
              </w:numPr>
              <w:tabs>
                <w:tab w:val="clear" w:pos="4320"/>
                <w:tab w:val="clear" w:pos="8640"/>
              </w:tabs>
              <w:jc w:val="both"/>
            </w:pPr>
            <w:r>
              <w:t xml:space="preserve">requires the sale or rental to be accomplished </w:t>
            </w:r>
            <w:r w:rsidR="00A520F1">
              <w:t>without</w:t>
            </w:r>
            <w:r w:rsidR="00BF725D" w:rsidRPr="00BF725D">
              <w:t xml:space="preserve"> the facilities or services of</w:t>
            </w:r>
            <w:r w:rsidR="00BF725D">
              <w:t xml:space="preserve"> </w:t>
            </w:r>
            <w:r w:rsidR="00BF725D" w:rsidRPr="00BF725D">
              <w:t>any person in the business of selling or renting a dwelling</w:t>
            </w:r>
            <w:r>
              <w:t>;</w:t>
            </w:r>
          </w:p>
          <w:p w14:paraId="686B36F2" w14:textId="63FC9914" w:rsidR="009822C2" w:rsidRDefault="00137ADF" w:rsidP="009E5C33">
            <w:pPr>
              <w:pStyle w:val="Header"/>
              <w:numPr>
                <w:ilvl w:val="0"/>
                <w:numId w:val="2"/>
              </w:numPr>
              <w:tabs>
                <w:tab w:val="clear" w:pos="4320"/>
                <w:tab w:val="clear" w:pos="8640"/>
              </w:tabs>
              <w:jc w:val="both"/>
            </w:pPr>
            <w:r>
              <w:t xml:space="preserve">clarifies that the </w:t>
            </w:r>
            <w:r w:rsidR="000C3DBA">
              <w:t>conditions</w:t>
            </w:r>
            <w:r>
              <w:t xml:space="preserve"> of the exemption do </w:t>
            </w:r>
            <w:r w:rsidRPr="00A520F1">
              <w:t>not prohibit the use of attorneys, escrow agents, abstractors, title companies, and other professional assistants necessary to transfer title</w:t>
            </w:r>
            <w:r>
              <w:t>; and</w:t>
            </w:r>
          </w:p>
          <w:p w14:paraId="33B472F8" w14:textId="007CCB33" w:rsidR="009822C2" w:rsidRDefault="00137ADF" w:rsidP="009E5C33">
            <w:pPr>
              <w:pStyle w:val="Header"/>
              <w:numPr>
                <w:ilvl w:val="0"/>
                <w:numId w:val="2"/>
              </w:numPr>
              <w:tabs>
                <w:tab w:val="clear" w:pos="4320"/>
                <w:tab w:val="clear" w:pos="8640"/>
              </w:tabs>
              <w:jc w:val="both"/>
            </w:pPr>
            <w:r>
              <w:t>limits the scope of a</w:t>
            </w:r>
            <w:r>
              <w:t xml:space="preserve"> </w:t>
            </w:r>
            <w:r w:rsidR="00031E9F">
              <w:t>provision restricting</w:t>
            </w:r>
            <w:r>
              <w:t xml:space="preserve"> the use of the exemption to one transaction in a 24-month period, unless the owner was the most recent resident of the house, to </w:t>
            </w:r>
            <w:r w:rsidR="00031E9F">
              <w:t xml:space="preserve">apply only to </w:t>
            </w:r>
            <w:r>
              <w:t xml:space="preserve">sales </w:t>
            </w:r>
            <w:r w:rsidR="00031E9F">
              <w:t>and removes the applicability of that restriction to rentals.</w:t>
            </w:r>
          </w:p>
          <w:p w14:paraId="7B5D9A9E" w14:textId="77777777" w:rsidR="009822C2" w:rsidRDefault="009822C2" w:rsidP="009E5C33">
            <w:pPr>
              <w:pStyle w:val="Header"/>
              <w:tabs>
                <w:tab w:val="clear" w:pos="4320"/>
                <w:tab w:val="clear" w:pos="8640"/>
              </w:tabs>
              <w:jc w:val="both"/>
            </w:pPr>
          </w:p>
          <w:p w14:paraId="73686B3D" w14:textId="42CFFD11" w:rsidR="00A520F1" w:rsidRDefault="00137ADF" w:rsidP="009E5C33">
            <w:pPr>
              <w:pStyle w:val="Header"/>
              <w:tabs>
                <w:tab w:val="clear" w:pos="4320"/>
                <w:tab w:val="clear" w:pos="8640"/>
              </w:tabs>
              <w:jc w:val="both"/>
            </w:pPr>
            <w:r>
              <w:t>H.B. 1153 establishes</w:t>
            </w:r>
            <w:r w:rsidR="002B35E6">
              <w:t xml:space="preserve"> </w:t>
            </w:r>
            <w:r>
              <w:t xml:space="preserve">that a person is in the business of selling or renting a dwelling </w:t>
            </w:r>
            <w:r w:rsidR="00204141">
              <w:t>for purposes of the exemption if the person meets the following criteria</w:t>
            </w:r>
            <w:r>
              <w:t>:</w:t>
            </w:r>
          </w:p>
          <w:p w14:paraId="4D0D07B3" w14:textId="77777777" w:rsidR="00204141" w:rsidRDefault="00137ADF" w:rsidP="009E5C33">
            <w:pPr>
              <w:pStyle w:val="Header"/>
              <w:numPr>
                <w:ilvl w:val="0"/>
                <w:numId w:val="1"/>
              </w:numPr>
              <w:tabs>
                <w:tab w:val="clear" w:pos="4320"/>
                <w:tab w:val="clear" w:pos="8640"/>
              </w:tabs>
              <w:jc w:val="both"/>
            </w:pPr>
            <w:r>
              <w:t xml:space="preserve">has participated in a specified minimum number of certain transactions </w:t>
            </w:r>
            <w:r w:rsidR="00B05AE1" w:rsidRPr="00B05AE1">
              <w:t xml:space="preserve">within the preceding year, </w:t>
            </w:r>
            <w:r>
              <w:t>as follows:</w:t>
            </w:r>
          </w:p>
          <w:p w14:paraId="07E7022B" w14:textId="00B4A90D" w:rsidR="00A520F1" w:rsidRDefault="00137ADF" w:rsidP="009E5C33">
            <w:pPr>
              <w:pStyle w:val="Header"/>
              <w:numPr>
                <w:ilvl w:val="1"/>
                <w:numId w:val="1"/>
              </w:numPr>
              <w:tabs>
                <w:tab w:val="clear" w:pos="4320"/>
                <w:tab w:val="clear" w:pos="8640"/>
              </w:tabs>
              <w:jc w:val="both"/>
            </w:pPr>
            <w:r w:rsidRPr="00B05AE1">
              <w:t>three</w:t>
            </w:r>
            <w:r w:rsidRPr="00B05AE1">
              <w:t xml:space="preserve"> or more transactions </w:t>
            </w:r>
            <w:r w:rsidR="00B05AE1" w:rsidRPr="00B05AE1">
              <w:t>as the seller or landlord in the sale or rental of a dwelling or any interest in a dwelling;</w:t>
            </w:r>
            <w:r w:rsidR="00CC08F3">
              <w:t xml:space="preserve"> or</w:t>
            </w:r>
          </w:p>
          <w:p w14:paraId="444ADA9A" w14:textId="5EC1C15C" w:rsidR="00B05AE1" w:rsidRDefault="00137ADF" w:rsidP="009E5C33">
            <w:pPr>
              <w:pStyle w:val="Header"/>
              <w:numPr>
                <w:ilvl w:val="1"/>
                <w:numId w:val="1"/>
              </w:numPr>
              <w:tabs>
                <w:tab w:val="clear" w:pos="4320"/>
                <w:tab w:val="clear" w:pos="8640"/>
              </w:tabs>
              <w:jc w:val="both"/>
            </w:pPr>
            <w:r w:rsidRPr="00B05AE1">
              <w:t>two or more transactions</w:t>
            </w:r>
            <w:r>
              <w:t xml:space="preserve"> as an agent providing </w:t>
            </w:r>
            <w:r w:rsidRPr="00B05AE1">
              <w:t>sales or rental facilities or services involving the sale or rental of a dwelling or any in</w:t>
            </w:r>
            <w:r w:rsidRPr="00B05AE1">
              <w:t xml:space="preserve">terest in a dwelling, </w:t>
            </w:r>
            <w:r>
              <w:t>excluding</w:t>
            </w:r>
            <w:r w:rsidRPr="00B05AE1">
              <w:t xml:space="preserve"> transactions involving the person's own dwelling; or</w:t>
            </w:r>
          </w:p>
          <w:p w14:paraId="06B11B84" w14:textId="4A23CEDF" w:rsidR="00B05AE1" w:rsidRPr="009C36CD" w:rsidRDefault="00137ADF" w:rsidP="009E5C33">
            <w:pPr>
              <w:pStyle w:val="Header"/>
              <w:numPr>
                <w:ilvl w:val="0"/>
                <w:numId w:val="1"/>
              </w:numPr>
              <w:tabs>
                <w:tab w:val="clear" w:pos="4320"/>
                <w:tab w:val="clear" w:pos="8640"/>
              </w:tabs>
              <w:jc w:val="both"/>
            </w:pPr>
            <w:r>
              <w:t>owns</w:t>
            </w:r>
            <w:r w:rsidRPr="00B05AE1">
              <w:t xml:space="preserve"> a dwelling designed or intended for occupancy by, or that is occupied by, five or more families.</w:t>
            </w:r>
            <w:r>
              <w:t xml:space="preserve"> </w:t>
            </w:r>
          </w:p>
          <w:p w14:paraId="53795B10" w14:textId="77777777" w:rsidR="008423E4" w:rsidRPr="00835628" w:rsidRDefault="008423E4" w:rsidP="009E5C33">
            <w:pPr>
              <w:rPr>
                <w:b/>
              </w:rPr>
            </w:pPr>
          </w:p>
        </w:tc>
      </w:tr>
      <w:tr w:rsidR="00F451AE" w14:paraId="71959F7A" w14:textId="77777777" w:rsidTr="00345119">
        <w:tc>
          <w:tcPr>
            <w:tcW w:w="9576" w:type="dxa"/>
          </w:tcPr>
          <w:p w14:paraId="3B2506F8" w14:textId="77777777" w:rsidR="008423E4" w:rsidRPr="00A8133F" w:rsidRDefault="00137ADF" w:rsidP="009E5C33">
            <w:pPr>
              <w:rPr>
                <w:b/>
              </w:rPr>
            </w:pPr>
            <w:r w:rsidRPr="009C1E9A">
              <w:rPr>
                <w:b/>
                <w:u w:val="single"/>
              </w:rPr>
              <w:t>EFFECTIVE DATE</w:t>
            </w:r>
            <w:r>
              <w:rPr>
                <w:b/>
              </w:rPr>
              <w:t xml:space="preserve"> </w:t>
            </w:r>
          </w:p>
          <w:p w14:paraId="16892CD7" w14:textId="77777777" w:rsidR="008423E4" w:rsidRDefault="008423E4" w:rsidP="009E5C33"/>
          <w:p w14:paraId="730713F5" w14:textId="769F850D" w:rsidR="008423E4" w:rsidRPr="0088286F" w:rsidRDefault="00137ADF" w:rsidP="009E5C33">
            <w:pPr>
              <w:pStyle w:val="Header"/>
              <w:tabs>
                <w:tab w:val="clear" w:pos="4320"/>
                <w:tab w:val="clear" w:pos="8640"/>
              </w:tabs>
              <w:jc w:val="both"/>
            </w:pPr>
            <w:r>
              <w:t>September 1, 2021.</w:t>
            </w:r>
          </w:p>
        </w:tc>
      </w:tr>
    </w:tbl>
    <w:p w14:paraId="5F52EDB4" w14:textId="7E57A21C" w:rsidR="004108C3" w:rsidRPr="008423E4" w:rsidRDefault="004108C3" w:rsidP="009E5C33"/>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0130D" w14:textId="77777777" w:rsidR="00000000" w:rsidRDefault="00137ADF">
      <w:r>
        <w:separator/>
      </w:r>
    </w:p>
  </w:endnote>
  <w:endnote w:type="continuationSeparator" w:id="0">
    <w:p w14:paraId="4F4DCCC4" w14:textId="77777777" w:rsidR="00000000" w:rsidRDefault="00137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7CDF3" w14:textId="77777777" w:rsidR="003504A1" w:rsidRDefault="00350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451AE" w14:paraId="466065F4" w14:textId="77777777" w:rsidTr="009C1E9A">
      <w:trPr>
        <w:cantSplit/>
      </w:trPr>
      <w:tc>
        <w:tcPr>
          <w:tcW w:w="0" w:type="pct"/>
        </w:tcPr>
        <w:p w14:paraId="4DAEF996" w14:textId="77777777" w:rsidR="00137D90" w:rsidRDefault="00137D90" w:rsidP="009C1E9A">
          <w:pPr>
            <w:pStyle w:val="Footer"/>
            <w:tabs>
              <w:tab w:val="clear" w:pos="8640"/>
              <w:tab w:val="right" w:pos="9360"/>
            </w:tabs>
          </w:pPr>
        </w:p>
      </w:tc>
      <w:tc>
        <w:tcPr>
          <w:tcW w:w="2395" w:type="pct"/>
        </w:tcPr>
        <w:p w14:paraId="4CA9C4D6" w14:textId="77777777" w:rsidR="00137D90" w:rsidRDefault="00137D90" w:rsidP="009C1E9A">
          <w:pPr>
            <w:pStyle w:val="Footer"/>
            <w:tabs>
              <w:tab w:val="clear" w:pos="8640"/>
              <w:tab w:val="right" w:pos="9360"/>
            </w:tabs>
          </w:pPr>
        </w:p>
        <w:p w14:paraId="27F11B50" w14:textId="77777777" w:rsidR="001A4310" w:rsidRDefault="001A4310" w:rsidP="009C1E9A">
          <w:pPr>
            <w:pStyle w:val="Footer"/>
            <w:tabs>
              <w:tab w:val="clear" w:pos="8640"/>
              <w:tab w:val="right" w:pos="9360"/>
            </w:tabs>
          </w:pPr>
        </w:p>
        <w:p w14:paraId="67B1902C" w14:textId="77777777" w:rsidR="00137D90" w:rsidRDefault="00137D90" w:rsidP="009C1E9A">
          <w:pPr>
            <w:pStyle w:val="Footer"/>
            <w:tabs>
              <w:tab w:val="clear" w:pos="8640"/>
              <w:tab w:val="right" w:pos="9360"/>
            </w:tabs>
          </w:pPr>
        </w:p>
      </w:tc>
      <w:tc>
        <w:tcPr>
          <w:tcW w:w="2453" w:type="pct"/>
        </w:tcPr>
        <w:p w14:paraId="21F4C619" w14:textId="77777777" w:rsidR="00137D90" w:rsidRDefault="00137D90" w:rsidP="009C1E9A">
          <w:pPr>
            <w:pStyle w:val="Footer"/>
            <w:tabs>
              <w:tab w:val="clear" w:pos="8640"/>
              <w:tab w:val="right" w:pos="9360"/>
            </w:tabs>
            <w:jc w:val="right"/>
          </w:pPr>
        </w:p>
      </w:tc>
    </w:tr>
    <w:tr w:rsidR="00F451AE" w14:paraId="7A7C1EE1" w14:textId="77777777" w:rsidTr="009C1E9A">
      <w:trPr>
        <w:cantSplit/>
      </w:trPr>
      <w:tc>
        <w:tcPr>
          <w:tcW w:w="0" w:type="pct"/>
        </w:tcPr>
        <w:p w14:paraId="7B34164E" w14:textId="77777777" w:rsidR="00EC379B" w:rsidRDefault="00EC379B" w:rsidP="009C1E9A">
          <w:pPr>
            <w:pStyle w:val="Footer"/>
            <w:tabs>
              <w:tab w:val="clear" w:pos="8640"/>
              <w:tab w:val="right" w:pos="9360"/>
            </w:tabs>
          </w:pPr>
        </w:p>
      </w:tc>
      <w:tc>
        <w:tcPr>
          <w:tcW w:w="2395" w:type="pct"/>
        </w:tcPr>
        <w:p w14:paraId="1848B848" w14:textId="0C891B05" w:rsidR="00EC379B" w:rsidRPr="009C1E9A" w:rsidRDefault="00137ADF" w:rsidP="009C1E9A">
          <w:pPr>
            <w:pStyle w:val="Footer"/>
            <w:tabs>
              <w:tab w:val="clear" w:pos="8640"/>
              <w:tab w:val="right" w:pos="9360"/>
            </w:tabs>
            <w:rPr>
              <w:rFonts w:ascii="Shruti" w:hAnsi="Shruti"/>
              <w:sz w:val="22"/>
            </w:rPr>
          </w:pPr>
          <w:r>
            <w:rPr>
              <w:rFonts w:ascii="Shruti" w:hAnsi="Shruti"/>
              <w:sz w:val="22"/>
            </w:rPr>
            <w:t>87R 17777</w:t>
          </w:r>
        </w:p>
      </w:tc>
      <w:tc>
        <w:tcPr>
          <w:tcW w:w="2453" w:type="pct"/>
        </w:tcPr>
        <w:p w14:paraId="38D26511" w14:textId="6FEBD87C" w:rsidR="00EC379B" w:rsidRDefault="00137ADF" w:rsidP="009C1E9A">
          <w:pPr>
            <w:pStyle w:val="Footer"/>
            <w:tabs>
              <w:tab w:val="clear" w:pos="8640"/>
              <w:tab w:val="right" w:pos="9360"/>
            </w:tabs>
            <w:jc w:val="right"/>
          </w:pPr>
          <w:r>
            <w:fldChar w:fldCharType="begin"/>
          </w:r>
          <w:r>
            <w:instrText xml:space="preserve"> DOCPROPERTY  OTID  \* MERGEFORMAT </w:instrText>
          </w:r>
          <w:r>
            <w:fldChar w:fldCharType="separate"/>
          </w:r>
          <w:r w:rsidR="00B80AB3">
            <w:t>21.90.764</w:t>
          </w:r>
          <w:r>
            <w:fldChar w:fldCharType="end"/>
          </w:r>
        </w:p>
      </w:tc>
    </w:tr>
    <w:tr w:rsidR="00F451AE" w14:paraId="4119F516" w14:textId="77777777" w:rsidTr="009C1E9A">
      <w:trPr>
        <w:cantSplit/>
      </w:trPr>
      <w:tc>
        <w:tcPr>
          <w:tcW w:w="0" w:type="pct"/>
        </w:tcPr>
        <w:p w14:paraId="06B9988D" w14:textId="77777777" w:rsidR="00EC379B" w:rsidRDefault="00EC379B" w:rsidP="009C1E9A">
          <w:pPr>
            <w:pStyle w:val="Footer"/>
            <w:tabs>
              <w:tab w:val="clear" w:pos="4320"/>
              <w:tab w:val="clear" w:pos="8640"/>
              <w:tab w:val="left" w:pos="2865"/>
            </w:tabs>
          </w:pPr>
        </w:p>
      </w:tc>
      <w:tc>
        <w:tcPr>
          <w:tcW w:w="2395" w:type="pct"/>
        </w:tcPr>
        <w:p w14:paraId="191E019D"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2F3093D7" w14:textId="77777777" w:rsidR="00EC379B" w:rsidRDefault="00EC379B" w:rsidP="006D504F">
          <w:pPr>
            <w:pStyle w:val="Footer"/>
            <w:rPr>
              <w:rStyle w:val="PageNumber"/>
            </w:rPr>
          </w:pPr>
        </w:p>
        <w:p w14:paraId="75A47498" w14:textId="77777777" w:rsidR="00EC379B" w:rsidRDefault="00EC379B" w:rsidP="009C1E9A">
          <w:pPr>
            <w:pStyle w:val="Footer"/>
            <w:tabs>
              <w:tab w:val="clear" w:pos="8640"/>
              <w:tab w:val="right" w:pos="9360"/>
            </w:tabs>
            <w:jc w:val="right"/>
          </w:pPr>
        </w:p>
      </w:tc>
    </w:tr>
    <w:tr w:rsidR="00F451AE" w14:paraId="1F139EDE" w14:textId="77777777" w:rsidTr="009C1E9A">
      <w:trPr>
        <w:cantSplit/>
        <w:trHeight w:val="323"/>
      </w:trPr>
      <w:tc>
        <w:tcPr>
          <w:tcW w:w="0" w:type="pct"/>
          <w:gridSpan w:val="3"/>
        </w:tcPr>
        <w:p w14:paraId="1BDC2F3A" w14:textId="50597A77" w:rsidR="00EC379B" w:rsidRDefault="00137AD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E5C33">
            <w:rPr>
              <w:rStyle w:val="PageNumber"/>
              <w:noProof/>
            </w:rPr>
            <w:t>1</w:t>
          </w:r>
          <w:r>
            <w:rPr>
              <w:rStyle w:val="PageNumber"/>
            </w:rPr>
            <w:fldChar w:fldCharType="end"/>
          </w:r>
        </w:p>
        <w:p w14:paraId="690C7C90" w14:textId="77777777" w:rsidR="00EC379B" w:rsidRDefault="00EC379B" w:rsidP="009C1E9A">
          <w:pPr>
            <w:pStyle w:val="Footer"/>
            <w:tabs>
              <w:tab w:val="clear" w:pos="8640"/>
              <w:tab w:val="right" w:pos="9360"/>
            </w:tabs>
            <w:jc w:val="center"/>
          </w:pPr>
        </w:p>
      </w:tc>
    </w:tr>
  </w:tbl>
  <w:p w14:paraId="4EC27C78"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90B66" w14:textId="77777777" w:rsidR="003504A1" w:rsidRDefault="00350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BAF77" w14:textId="77777777" w:rsidR="00000000" w:rsidRDefault="00137ADF">
      <w:r>
        <w:separator/>
      </w:r>
    </w:p>
  </w:footnote>
  <w:footnote w:type="continuationSeparator" w:id="0">
    <w:p w14:paraId="6BB50454" w14:textId="77777777" w:rsidR="00000000" w:rsidRDefault="00137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9A454" w14:textId="77777777" w:rsidR="003504A1" w:rsidRDefault="00350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35173" w14:textId="77777777" w:rsidR="003504A1" w:rsidRDefault="003504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4464D" w14:textId="77777777" w:rsidR="003504A1" w:rsidRDefault="00350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4BED"/>
    <w:multiLevelType w:val="hybridMultilevel"/>
    <w:tmpl w:val="317A88E2"/>
    <w:lvl w:ilvl="0" w:tplc="D2B05278">
      <w:start w:val="1"/>
      <w:numFmt w:val="bullet"/>
      <w:lvlText w:val=""/>
      <w:lvlJc w:val="left"/>
      <w:pPr>
        <w:tabs>
          <w:tab w:val="num" w:pos="720"/>
        </w:tabs>
        <w:ind w:left="720" w:hanging="360"/>
      </w:pPr>
      <w:rPr>
        <w:rFonts w:ascii="Symbol" w:hAnsi="Symbol" w:hint="default"/>
      </w:rPr>
    </w:lvl>
    <w:lvl w:ilvl="1" w:tplc="53F42EE0" w:tentative="1">
      <w:start w:val="1"/>
      <w:numFmt w:val="bullet"/>
      <w:lvlText w:val="o"/>
      <w:lvlJc w:val="left"/>
      <w:pPr>
        <w:ind w:left="1440" w:hanging="360"/>
      </w:pPr>
      <w:rPr>
        <w:rFonts w:ascii="Courier New" w:hAnsi="Courier New" w:cs="Courier New" w:hint="default"/>
      </w:rPr>
    </w:lvl>
    <w:lvl w:ilvl="2" w:tplc="A9DAC250" w:tentative="1">
      <w:start w:val="1"/>
      <w:numFmt w:val="bullet"/>
      <w:lvlText w:val=""/>
      <w:lvlJc w:val="left"/>
      <w:pPr>
        <w:ind w:left="2160" w:hanging="360"/>
      </w:pPr>
      <w:rPr>
        <w:rFonts w:ascii="Wingdings" w:hAnsi="Wingdings" w:hint="default"/>
      </w:rPr>
    </w:lvl>
    <w:lvl w:ilvl="3" w:tplc="F3B40C30" w:tentative="1">
      <w:start w:val="1"/>
      <w:numFmt w:val="bullet"/>
      <w:lvlText w:val=""/>
      <w:lvlJc w:val="left"/>
      <w:pPr>
        <w:ind w:left="2880" w:hanging="360"/>
      </w:pPr>
      <w:rPr>
        <w:rFonts w:ascii="Symbol" w:hAnsi="Symbol" w:hint="default"/>
      </w:rPr>
    </w:lvl>
    <w:lvl w:ilvl="4" w:tplc="FBD01142" w:tentative="1">
      <w:start w:val="1"/>
      <w:numFmt w:val="bullet"/>
      <w:lvlText w:val="o"/>
      <w:lvlJc w:val="left"/>
      <w:pPr>
        <w:ind w:left="3600" w:hanging="360"/>
      </w:pPr>
      <w:rPr>
        <w:rFonts w:ascii="Courier New" w:hAnsi="Courier New" w:cs="Courier New" w:hint="default"/>
      </w:rPr>
    </w:lvl>
    <w:lvl w:ilvl="5" w:tplc="63E8279E" w:tentative="1">
      <w:start w:val="1"/>
      <w:numFmt w:val="bullet"/>
      <w:lvlText w:val=""/>
      <w:lvlJc w:val="left"/>
      <w:pPr>
        <w:ind w:left="4320" w:hanging="360"/>
      </w:pPr>
      <w:rPr>
        <w:rFonts w:ascii="Wingdings" w:hAnsi="Wingdings" w:hint="default"/>
      </w:rPr>
    </w:lvl>
    <w:lvl w:ilvl="6" w:tplc="58EA9B80" w:tentative="1">
      <w:start w:val="1"/>
      <w:numFmt w:val="bullet"/>
      <w:lvlText w:val=""/>
      <w:lvlJc w:val="left"/>
      <w:pPr>
        <w:ind w:left="5040" w:hanging="360"/>
      </w:pPr>
      <w:rPr>
        <w:rFonts w:ascii="Symbol" w:hAnsi="Symbol" w:hint="default"/>
      </w:rPr>
    </w:lvl>
    <w:lvl w:ilvl="7" w:tplc="E7B0031C" w:tentative="1">
      <w:start w:val="1"/>
      <w:numFmt w:val="bullet"/>
      <w:lvlText w:val="o"/>
      <w:lvlJc w:val="left"/>
      <w:pPr>
        <w:ind w:left="5760" w:hanging="360"/>
      </w:pPr>
      <w:rPr>
        <w:rFonts w:ascii="Courier New" w:hAnsi="Courier New" w:cs="Courier New" w:hint="default"/>
      </w:rPr>
    </w:lvl>
    <w:lvl w:ilvl="8" w:tplc="A3CA17D2" w:tentative="1">
      <w:start w:val="1"/>
      <w:numFmt w:val="bullet"/>
      <w:lvlText w:val=""/>
      <w:lvlJc w:val="left"/>
      <w:pPr>
        <w:ind w:left="6480" w:hanging="360"/>
      </w:pPr>
      <w:rPr>
        <w:rFonts w:ascii="Wingdings" w:hAnsi="Wingdings" w:hint="default"/>
      </w:rPr>
    </w:lvl>
  </w:abstractNum>
  <w:abstractNum w:abstractNumId="1" w15:restartNumberingAfterBreak="0">
    <w:nsid w:val="6D6E55EA"/>
    <w:multiLevelType w:val="hybridMultilevel"/>
    <w:tmpl w:val="5CEE9B64"/>
    <w:lvl w:ilvl="0" w:tplc="04EC1060">
      <w:start w:val="1"/>
      <w:numFmt w:val="bullet"/>
      <w:lvlText w:val=""/>
      <w:lvlJc w:val="left"/>
      <w:pPr>
        <w:tabs>
          <w:tab w:val="num" w:pos="720"/>
        </w:tabs>
        <w:ind w:left="720" w:hanging="360"/>
      </w:pPr>
      <w:rPr>
        <w:rFonts w:ascii="Symbol" w:hAnsi="Symbol" w:hint="default"/>
      </w:rPr>
    </w:lvl>
    <w:lvl w:ilvl="1" w:tplc="79EA7342">
      <w:start w:val="1"/>
      <w:numFmt w:val="bullet"/>
      <w:lvlText w:val="o"/>
      <w:lvlJc w:val="left"/>
      <w:pPr>
        <w:ind w:left="1440" w:hanging="360"/>
      </w:pPr>
      <w:rPr>
        <w:rFonts w:ascii="Courier New" w:hAnsi="Courier New" w:cs="Courier New" w:hint="default"/>
      </w:rPr>
    </w:lvl>
    <w:lvl w:ilvl="2" w:tplc="37B46DE6" w:tentative="1">
      <w:start w:val="1"/>
      <w:numFmt w:val="bullet"/>
      <w:lvlText w:val=""/>
      <w:lvlJc w:val="left"/>
      <w:pPr>
        <w:ind w:left="2160" w:hanging="360"/>
      </w:pPr>
      <w:rPr>
        <w:rFonts w:ascii="Wingdings" w:hAnsi="Wingdings" w:hint="default"/>
      </w:rPr>
    </w:lvl>
    <w:lvl w:ilvl="3" w:tplc="A7586B38" w:tentative="1">
      <w:start w:val="1"/>
      <w:numFmt w:val="bullet"/>
      <w:lvlText w:val=""/>
      <w:lvlJc w:val="left"/>
      <w:pPr>
        <w:ind w:left="2880" w:hanging="360"/>
      </w:pPr>
      <w:rPr>
        <w:rFonts w:ascii="Symbol" w:hAnsi="Symbol" w:hint="default"/>
      </w:rPr>
    </w:lvl>
    <w:lvl w:ilvl="4" w:tplc="E6223EDE" w:tentative="1">
      <w:start w:val="1"/>
      <w:numFmt w:val="bullet"/>
      <w:lvlText w:val="o"/>
      <w:lvlJc w:val="left"/>
      <w:pPr>
        <w:ind w:left="3600" w:hanging="360"/>
      </w:pPr>
      <w:rPr>
        <w:rFonts w:ascii="Courier New" w:hAnsi="Courier New" w:cs="Courier New" w:hint="default"/>
      </w:rPr>
    </w:lvl>
    <w:lvl w:ilvl="5" w:tplc="421EF46A" w:tentative="1">
      <w:start w:val="1"/>
      <w:numFmt w:val="bullet"/>
      <w:lvlText w:val=""/>
      <w:lvlJc w:val="left"/>
      <w:pPr>
        <w:ind w:left="4320" w:hanging="360"/>
      </w:pPr>
      <w:rPr>
        <w:rFonts w:ascii="Wingdings" w:hAnsi="Wingdings" w:hint="default"/>
      </w:rPr>
    </w:lvl>
    <w:lvl w:ilvl="6" w:tplc="3B129E92" w:tentative="1">
      <w:start w:val="1"/>
      <w:numFmt w:val="bullet"/>
      <w:lvlText w:val=""/>
      <w:lvlJc w:val="left"/>
      <w:pPr>
        <w:ind w:left="5040" w:hanging="360"/>
      </w:pPr>
      <w:rPr>
        <w:rFonts w:ascii="Symbol" w:hAnsi="Symbol" w:hint="default"/>
      </w:rPr>
    </w:lvl>
    <w:lvl w:ilvl="7" w:tplc="D0169364" w:tentative="1">
      <w:start w:val="1"/>
      <w:numFmt w:val="bullet"/>
      <w:lvlText w:val="o"/>
      <w:lvlJc w:val="left"/>
      <w:pPr>
        <w:ind w:left="5760" w:hanging="360"/>
      </w:pPr>
      <w:rPr>
        <w:rFonts w:ascii="Courier New" w:hAnsi="Courier New" w:cs="Courier New" w:hint="default"/>
      </w:rPr>
    </w:lvl>
    <w:lvl w:ilvl="8" w:tplc="CE20342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3D8"/>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1E9F"/>
    <w:rsid w:val="000330D4"/>
    <w:rsid w:val="0003572D"/>
    <w:rsid w:val="00035DB0"/>
    <w:rsid w:val="00037088"/>
    <w:rsid w:val="000400D5"/>
    <w:rsid w:val="00043B84"/>
    <w:rsid w:val="0004512B"/>
    <w:rsid w:val="000463F0"/>
    <w:rsid w:val="00046BDA"/>
    <w:rsid w:val="0004762E"/>
    <w:rsid w:val="00050177"/>
    <w:rsid w:val="000532BD"/>
    <w:rsid w:val="00055C12"/>
    <w:rsid w:val="000573D9"/>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3DBA"/>
    <w:rsid w:val="000C4556"/>
    <w:rsid w:val="000C49DA"/>
    <w:rsid w:val="000C4B3D"/>
    <w:rsid w:val="000C6D65"/>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ADF"/>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4141"/>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5E6"/>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04A1"/>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1AC2"/>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998"/>
    <w:rsid w:val="00592C9A"/>
    <w:rsid w:val="00593DF8"/>
    <w:rsid w:val="00595745"/>
    <w:rsid w:val="005A0E18"/>
    <w:rsid w:val="005A12A5"/>
    <w:rsid w:val="005A2CF1"/>
    <w:rsid w:val="005A3790"/>
    <w:rsid w:val="005A3CCB"/>
    <w:rsid w:val="005A3F54"/>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55A9"/>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6ECE"/>
    <w:rsid w:val="00617411"/>
    <w:rsid w:val="0062229F"/>
    <w:rsid w:val="006249CB"/>
    <w:rsid w:val="006272DD"/>
    <w:rsid w:val="00630963"/>
    <w:rsid w:val="00631897"/>
    <w:rsid w:val="00632928"/>
    <w:rsid w:val="006330DA"/>
    <w:rsid w:val="00633262"/>
    <w:rsid w:val="00633460"/>
    <w:rsid w:val="006402E7"/>
    <w:rsid w:val="00640CB6"/>
    <w:rsid w:val="00641B42"/>
    <w:rsid w:val="006440A3"/>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0997"/>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142"/>
    <w:rsid w:val="007966D4"/>
    <w:rsid w:val="00796A0A"/>
    <w:rsid w:val="0079792C"/>
    <w:rsid w:val="007A0989"/>
    <w:rsid w:val="007A331F"/>
    <w:rsid w:val="007A3844"/>
    <w:rsid w:val="007A4381"/>
    <w:rsid w:val="007A5466"/>
    <w:rsid w:val="007A7EC1"/>
    <w:rsid w:val="007B4FCA"/>
    <w:rsid w:val="007B55FB"/>
    <w:rsid w:val="007B7B85"/>
    <w:rsid w:val="007C462E"/>
    <w:rsid w:val="007C496B"/>
    <w:rsid w:val="007C63D8"/>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185F"/>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286F"/>
    <w:rsid w:val="008845BA"/>
    <w:rsid w:val="00885203"/>
    <w:rsid w:val="008859CA"/>
    <w:rsid w:val="008861EE"/>
    <w:rsid w:val="00890B59"/>
    <w:rsid w:val="008930D7"/>
    <w:rsid w:val="008947A7"/>
    <w:rsid w:val="00896C82"/>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6BC5"/>
    <w:rsid w:val="00967126"/>
    <w:rsid w:val="00970EAE"/>
    <w:rsid w:val="00971627"/>
    <w:rsid w:val="00972797"/>
    <w:rsid w:val="0097279D"/>
    <w:rsid w:val="00976837"/>
    <w:rsid w:val="00980311"/>
    <w:rsid w:val="0098170E"/>
    <w:rsid w:val="009822C2"/>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5C33"/>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1309"/>
    <w:rsid w:val="00A220FF"/>
    <w:rsid w:val="00A227E0"/>
    <w:rsid w:val="00A232E4"/>
    <w:rsid w:val="00A24AAD"/>
    <w:rsid w:val="00A26A8A"/>
    <w:rsid w:val="00A27255"/>
    <w:rsid w:val="00A32304"/>
    <w:rsid w:val="00A3420E"/>
    <w:rsid w:val="00A35D66"/>
    <w:rsid w:val="00A41085"/>
    <w:rsid w:val="00A425FA"/>
    <w:rsid w:val="00A43960"/>
    <w:rsid w:val="00A46902"/>
    <w:rsid w:val="00A4766B"/>
    <w:rsid w:val="00A50CDB"/>
    <w:rsid w:val="00A51F3E"/>
    <w:rsid w:val="00A520F1"/>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5AE1"/>
    <w:rsid w:val="00B07488"/>
    <w:rsid w:val="00B075A2"/>
    <w:rsid w:val="00B10DD2"/>
    <w:rsid w:val="00B115DC"/>
    <w:rsid w:val="00B11952"/>
    <w:rsid w:val="00B14BD2"/>
    <w:rsid w:val="00B1557F"/>
    <w:rsid w:val="00B1668D"/>
    <w:rsid w:val="00B17981"/>
    <w:rsid w:val="00B20300"/>
    <w:rsid w:val="00B233BB"/>
    <w:rsid w:val="00B25612"/>
    <w:rsid w:val="00B26437"/>
    <w:rsid w:val="00B2678E"/>
    <w:rsid w:val="00B30647"/>
    <w:rsid w:val="00B31F0E"/>
    <w:rsid w:val="00B34240"/>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0AB3"/>
    <w:rsid w:val="00B82039"/>
    <w:rsid w:val="00B82454"/>
    <w:rsid w:val="00B90097"/>
    <w:rsid w:val="00B90999"/>
    <w:rsid w:val="00B91AD7"/>
    <w:rsid w:val="00B92D23"/>
    <w:rsid w:val="00B95BC8"/>
    <w:rsid w:val="00B96E87"/>
    <w:rsid w:val="00BA146A"/>
    <w:rsid w:val="00BA32EE"/>
    <w:rsid w:val="00BA4050"/>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2792"/>
    <w:rsid w:val="00BE3634"/>
    <w:rsid w:val="00BE3E30"/>
    <w:rsid w:val="00BE5274"/>
    <w:rsid w:val="00BE71CD"/>
    <w:rsid w:val="00BE7748"/>
    <w:rsid w:val="00BE7BDA"/>
    <w:rsid w:val="00BF0548"/>
    <w:rsid w:val="00BF4949"/>
    <w:rsid w:val="00BF4D7C"/>
    <w:rsid w:val="00BF5085"/>
    <w:rsid w:val="00BF725D"/>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83EF7"/>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08F3"/>
    <w:rsid w:val="00CC24B7"/>
    <w:rsid w:val="00CC7131"/>
    <w:rsid w:val="00CC7B9E"/>
    <w:rsid w:val="00CC7FEA"/>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66F07"/>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2E5E"/>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13E8"/>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2CF1"/>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5F2B"/>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BF5"/>
    <w:rsid w:val="00F36FE0"/>
    <w:rsid w:val="00F37EA8"/>
    <w:rsid w:val="00F40B14"/>
    <w:rsid w:val="00F41186"/>
    <w:rsid w:val="00F41EEF"/>
    <w:rsid w:val="00F41FAC"/>
    <w:rsid w:val="00F423D3"/>
    <w:rsid w:val="00F44349"/>
    <w:rsid w:val="00F451AE"/>
    <w:rsid w:val="00F4569E"/>
    <w:rsid w:val="00F45AFC"/>
    <w:rsid w:val="00F462F4"/>
    <w:rsid w:val="00F50130"/>
    <w:rsid w:val="00F52402"/>
    <w:rsid w:val="00F5605D"/>
    <w:rsid w:val="00F57762"/>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9AE94F-5040-4334-8DE7-6EC9BABD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B35E6"/>
    <w:rPr>
      <w:sz w:val="16"/>
      <w:szCs w:val="16"/>
    </w:rPr>
  </w:style>
  <w:style w:type="paragraph" w:styleId="CommentText">
    <w:name w:val="annotation text"/>
    <w:basedOn w:val="Normal"/>
    <w:link w:val="CommentTextChar"/>
    <w:semiHidden/>
    <w:unhideWhenUsed/>
    <w:rsid w:val="002B35E6"/>
    <w:rPr>
      <w:sz w:val="20"/>
      <w:szCs w:val="20"/>
    </w:rPr>
  </w:style>
  <w:style w:type="character" w:customStyle="1" w:styleId="CommentTextChar">
    <w:name w:val="Comment Text Char"/>
    <w:basedOn w:val="DefaultParagraphFont"/>
    <w:link w:val="CommentText"/>
    <w:semiHidden/>
    <w:rsid w:val="002B35E6"/>
  </w:style>
  <w:style w:type="paragraph" w:styleId="CommentSubject">
    <w:name w:val="annotation subject"/>
    <w:basedOn w:val="CommentText"/>
    <w:next w:val="CommentText"/>
    <w:link w:val="CommentSubjectChar"/>
    <w:semiHidden/>
    <w:unhideWhenUsed/>
    <w:rsid w:val="002B35E6"/>
    <w:rPr>
      <w:b/>
      <w:bCs/>
    </w:rPr>
  </w:style>
  <w:style w:type="character" w:customStyle="1" w:styleId="CommentSubjectChar">
    <w:name w:val="Comment Subject Char"/>
    <w:basedOn w:val="CommentTextChar"/>
    <w:link w:val="CommentSubject"/>
    <w:semiHidden/>
    <w:rsid w:val="002B35E6"/>
    <w:rPr>
      <w:b/>
      <w:bCs/>
    </w:rPr>
  </w:style>
  <w:style w:type="character" w:styleId="Hyperlink">
    <w:name w:val="Hyperlink"/>
    <w:basedOn w:val="DefaultParagraphFont"/>
    <w:unhideWhenUsed/>
    <w:rsid w:val="0062229F"/>
    <w:rPr>
      <w:color w:val="0000FF" w:themeColor="hyperlink"/>
      <w:u w:val="single"/>
    </w:rPr>
  </w:style>
  <w:style w:type="character" w:styleId="FollowedHyperlink">
    <w:name w:val="FollowedHyperlink"/>
    <w:basedOn w:val="DefaultParagraphFont"/>
    <w:semiHidden/>
    <w:unhideWhenUsed/>
    <w:rsid w:val="00EA2C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2745</Characters>
  <Application>Microsoft Office Word</Application>
  <DocSecurity>4</DocSecurity>
  <Lines>66</Lines>
  <Paragraphs>23</Paragraphs>
  <ScaleCrop>false</ScaleCrop>
  <HeadingPairs>
    <vt:vector size="2" baseType="variant">
      <vt:variant>
        <vt:lpstr>Title</vt:lpstr>
      </vt:variant>
      <vt:variant>
        <vt:i4>1</vt:i4>
      </vt:variant>
    </vt:vector>
  </HeadingPairs>
  <TitlesOfParts>
    <vt:vector size="1" baseType="lpstr">
      <vt:lpstr>BA - HB01153 (Committee Report (Unamended))</vt:lpstr>
    </vt:vector>
  </TitlesOfParts>
  <Company>State of Texas</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17777</dc:subject>
  <dc:creator>State of Texas</dc:creator>
  <dc:description>HB 1153 by Vo-(H)Business &amp; Industry</dc:description>
  <cp:lastModifiedBy>Emma Bodisch</cp:lastModifiedBy>
  <cp:revision>2</cp:revision>
  <cp:lastPrinted>2003-11-26T17:21:00Z</cp:lastPrinted>
  <dcterms:created xsi:type="dcterms:W3CDTF">2021-04-07T16:54:00Z</dcterms:created>
  <dcterms:modified xsi:type="dcterms:W3CDTF">2021-04-07T16:54:00Z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21.90.764</vt:lpwstr>
  </property>
</Properties>
</file>