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50999" w14:paraId="063BE79B" w14:textId="77777777" w:rsidTr="00345119">
        <w:tc>
          <w:tcPr>
            <w:tcW w:w="9576" w:type="dxa"/>
            <w:noWrap/>
          </w:tcPr>
          <w:p w14:paraId="0B5991D2" w14:textId="77777777" w:rsidR="008423E4" w:rsidRPr="0022177D" w:rsidRDefault="00301E01" w:rsidP="00D10E71">
            <w:pPr>
              <w:pStyle w:val="Heading1"/>
            </w:pPr>
            <w:bookmarkStart w:id="0" w:name="_GoBack"/>
            <w:bookmarkEnd w:id="0"/>
            <w:r w:rsidRPr="00631897">
              <w:t>BILL ANALYSIS</w:t>
            </w:r>
          </w:p>
        </w:tc>
      </w:tr>
    </w:tbl>
    <w:p w14:paraId="4330CF45" w14:textId="77777777" w:rsidR="008423E4" w:rsidRPr="0022177D" w:rsidRDefault="008423E4" w:rsidP="00D10E71">
      <w:pPr>
        <w:jc w:val="center"/>
      </w:pPr>
    </w:p>
    <w:p w14:paraId="428C591E" w14:textId="77777777" w:rsidR="008423E4" w:rsidRPr="00B31F0E" w:rsidRDefault="008423E4" w:rsidP="00D10E71"/>
    <w:p w14:paraId="1D439F94" w14:textId="77777777" w:rsidR="008423E4" w:rsidRPr="00742794" w:rsidRDefault="008423E4" w:rsidP="00D10E71">
      <w:pPr>
        <w:tabs>
          <w:tab w:val="right" w:pos="9360"/>
        </w:tabs>
      </w:pPr>
    </w:p>
    <w:tbl>
      <w:tblPr>
        <w:tblW w:w="0" w:type="auto"/>
        <w:tblLayout w:type="fixed"/>
        <w:tblLook w:val="01E0" w:firstRow="1" w:lastRow="1" w:firstColumn="1" w:lastColumn="1" w:noHBand="0" w:noVBand="0"/>
      </w:tblPr>
      <w:tblGrid>
        <w:gridCol w:w="9576"/>
      </w:tblGrid>
      <w:tr w:rsidR="00D50999" w14:paraId="2E4351EF" w14:textId="77777777" w:rsidTr="00345119">
        <w:tc>
          <w:tcPr>
            <w:tcW w:w="9576" w:type="dxa"/>
          </w:tcPr>
          <w:p w14:paraId="464DB5C6" w14:textId="0DE04664" w:rsidR="008423E4" w:rsidRPr="00861995" w:rsidRDefault="00301E01" w:rsidP="00D10E71">
            <w:pPr>
              <w:jc w:val="right"/>
            </w:pPr>
            <w:r>
              <w:t>C.S.H.B. 1202</w:t>
            </w:r>
          </w:p>
        </w:tc>
      </w:tr>
      <w:tr w:rsidR="00D50999" w14:paraId="28DD3043" w14:textId="77777777" w:rsidTr="00345119">
        <w:tc>
          <w:tcPr>
            <w:tcW w:w="9576" w:type="dxa"/>
          </w:tcPr>
          <w:p w14:paraId="67AB11F7" w14:textId="7700FEB1" w:rsidR="008423E4" w:rsidRPr="00861995" w:rsidRDefault="00301E01" w:rsidP="00D10E71">
            <w:pPr>
              <w:jc w:val="right"/>
            </w:pPr>
            <w:r>
              <w:t xml:space="preserve">By: </w:t>
            </w:r>
            <w:r w:rsidR="008E3703">
              <w:t>Jetton</w:t>
            </w:r>
          </w:p>
        </w:tc>
      </w:tr>
      <w:tr w:rsidR="00D50999" w14:paraId="0577B284" w14:textId="77777777" w:rsidTr="00345119">
        <w:tc>
          <w:tcPr>
            <w:tcW w:w="9576" w:type="dxa"/>
          </w:tcPr>
          <w:p w14:paraId="489133A9" w14:textId="53C06182" w:rsidR="008423E4" w:rsidRPr="00861995" w:rsidRDefault="00301E01" w:rsidP="00D10E71">
            <w:pPr>
              <w:jc w:val="right"/>
            </w:pPr>
            <w:r>
              <w:t>Business &amp; Industry</w:t>
            </w:r>
          </w:p>
        </w:tc>
      </w:tr>
      <w:tr w:rsidR="00D50999" w14:paraId="3D51D880" w14:textId="77777777" w:rsidTr="00345119">
        <w:tc>
          <w:tcPr>
            <w:tcW w:w="9576" w:type="dxa"/>
          </w:tcPr>
          <w:p w14:paraId="5C081671" w14:textId="2896B82F" w:rsidR="008423E4" w:rsidRDefault="00301E01" w:rsidP="00D10E71">
            <w:pPr>
              <w:jc w:val="right"/>
            </w:pPr>
            <w:r>
              <w:t>Committee Report (Substituted)</w:t>
            </w:r>
          </w:p>
        </w:tc>
      </w:tr>
    </w:tbl>
    <w:p w14:paraId="07EB6C1D" w14:textId="77777777" w:rsidR="008423E4" w:rsidRDefault="008423E4" w:rsidP="00D10E71">
      <w:pPr>
        <w:tabs>
          <w:tab w:val="right" w:pos="9360"/>
        </w:tabs>
      </w:pPr>
    </w:p>
    <w:p w14:paraId="6D9F3E31" w14:textId="77777777" w:rsidR="008423E4" w:rsidRDefault="008423E4" w:rsidP="00D10E71"/>
    <w:p w14:paraId="1121DDB5" w14:textId="77777777" w:rsidR="008423E4" w:rsidRDefault="008423E4" w:rsidP="00D10E71"/>
    <w:tbl>
      <w:tblPr>
        <w:tblW w:w="0" w:type="auto"/>
        <w:tblCellMar>
          <w:left w:w="115" w:type="dxa"/>
          <w:right w:w="115" w:type="dxa"/>
        </w:tblCellMar>
        <w:tblLook w:val="01E0" w:firstRow="1" w:lastRow="1" w:firstColumn="1" w:lastColumn="1" w:noHBand="0" w:noVBand="0"/>
      </w:tblPr>
      <w:tblGrid>
        <w:gridCol w:w="9360"/>
      </w:tblGrid>
      <w:tr w:rsidR="00D50999" w14:paraId="237503AD" w14:textId="77777777" w:rsidTr="00345119">
        <w:tc>
          <w:tcPr>
            <w:tcW w:w="9576" w:type="dxa"/>
          </w:tcPr>
          <w:p w14:paraId="5B431EA0" w14:textId="77777777" w:rsidR="008423E4" w:rsidRPr="00A8133F" w:rsidRDefault="00301E01" w:rsidP="00D10E71">
            <w:pPr>
              <w:rPr>
                <w:b/>
              </w:rPr>
            </w:pPr>
            <w:r w:rsidRPr="009C1E9A">
              <w:rPr>
                <w:b/>
                <w:u w:val="single"/>
              </w:rPr>
              <w:t>BACKGROUND AND PURPOSE</w:t>
            </w:r>
            <w:r>
              <w:rPr>
                <w:b/>
              </w:rPr>
              <w:t xml:space="preserve"> </w:t>
            </w:r>
          </w:p>
          <w:p w14:paraId="38FAD0F8" w14:textId="77777777" w:rsidR="008423E4" w:rsidRDefault="008423E4" w:rsidP="00D10E71"/>
          <w:p w14:paraId="092F82B4" w14:textId="2DCC01F5" w:rsidR="008423E4" w:rsidRDefault="00301E01" w:rsidP="00D10E71">
            <w:pPr>
              <w:pStyle w:val="Header"/>
              <w:jc w:val="both"/>
            </w:pPr>
            <w:r>
              <w:t>The methods to amend deed restrictions are very difficult in Texas. Some communities require</w:t>
            </w:r>
            <w:r w:rsidR="00D10E71">
              <w:t xml:space="preserve"> </w:t>
            </w:r>
            <w:r>
              <w:t xml:space="preserve">impractical supermajorities of </w:t>
            </w:r>
            <w:r>
              <w:t>homeowners to make even the slightest changes</w:t>
            </w:r>
            <w:r w:rsidR="00301F8D">
              <w:t xml:space="preserve">, which is seen as impractical and prohibitive when it comes to removing racist and discriminatory language and restrictions. </w:t>
            </w:r>
            <w:r>
              <w:t>Communities in Texas are seeking relief to easily amend their own deed restrictions</w:t>
            </w:r>
            <w:r w:rsidR="00301F8D">
              <w:t>,</w:t>
            </w:r>
            <w:r w:rsidR="004531C4">
              <w:t xml:space="preserve"> </w:t>
            </w:r>
            <w:r>
              <w:t xml:space="preserve">specifically when it comes to racist and discriminatory </w:t>
            </w:r>
            <w:r w:rsidR="00301F8D">
              <w:t>content</w:t>
            </w:r>
            <w:r>
              <w:t>.</w:t>
            </w:r>
            <w:r w:rsidR="00301F8D">
              <w:t xml:space="preserve"> </w:t>
            </w:r>
            <w:r>
              <w:t>C.S.H.B. 1202 seeks to remedy this situation by providing three methods through which</w:t>
            </w:r>
            <w:r w:rsidR="00AF33CC">
              <w:t xml:space="preserve"> </w:t>
            </w:r>
            <w:r>
              <w:t>homeowners may amend their deed restrictions with regard to discriminatory covenants.</w:t>
            </w:r>
          </w:p>
          <w:p w14:paraId="7EB5E73D" w14:textId="77777777" w:rsidR="008423E4" w:rsidRPr="00E26B13" w:rsidRDefault="008423E4" w:rsidP="00D10E71">
            <w:pPr>
              <w:rPr>
                <w:b/>
              </w:rPr>
            </w:pPr>
          </w:p>
        </w:tc>
      </w:tr>
      <w:tr w:rsidR="00D50999" w14:paraId="1E898C12" w14:textId="77777777" w:rsidTr="00345119">
        <w:tc>
          <w:tcPr>
            <w:tcW w:w="9576" w:type="dxa"/>
          </w:tcPr>
          <w:p w14:paraId="5B1AC8B5" w14:textId="77777777" w:rsidR="0017725B" w:rsidRDefault="00301E01" w:rsidP="00D10E71">
            <w:pPr>
              <w:rPr>
                <w:b/>
                <w:u w:val="single"/>
              </w:rPr>
            </w:pPr>
            <w:r>
              <w:rPr>
                <w:b/>
                <w:u w:val="single"/>
              </w:rPr>
              <w:t xml:space="preserve">CRIMINAL JUSTICE </w:t>
            </w:r>
            <w:r>
              <w:rPr>
                <w:b/>
                <w:u w:val="single"/>
              </w:rPr>
              <w:t>IMPACT</w:t>
            </w:r>
          </w:p>
          <w:p w14:paraId="2D929ED2" w14:textId="77777777" w:rsidR="0017725B" w:rsidRDefault="0017725B" w:rsidP="00D10E71">
            <w:pPr>
              <w:rPr>
                <w:b/>
                <w:u w:val="single"/>
              </w:rPr>
            </w:pPr>
          </w:p>
          <w:p w14:paraId="6CE3BAAC" w14:textId="77777777" w:rsidR="00994CC9" w:rsidRPr="00994CC9" w:rsidRDefault="00301E01" w:rsidP="00D10E71">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14:paraId="777D5743" w14:textId="77777777" w:rsidR="0017725B" w:rsidRPr="0017725B" w:rsidRDefault="0017725B" w:rsidP="00D10E71">
            <w:pPr>
              <w:rPr>
                <w:b/>
                <w:u w:val="single"/>
              </w:rPr>
            </w:pPr>
          </w:p>
        </w:tc>
      </w:tr>
      <w:tr w:rsidR="00D50999" w14:paraId="66A645DE" w14:textId="77777777" w:rsidTr="00345119">
        <w:tc>
          <w:tcPr>
            <w:tcW w:w="9576" w:type="dxa"/>
          </w:tcPr>
          <w:p w14:paraId="1DCF4337" w14:textId="77777777" w:rsidR="008423E4" w:rsidRPr="00A8133F" w:rsidRDefault="00301E01" w:rsidP="00D10E71">
            <w:pPr>
              <w:rPr>
                <w:b/>
              </w:rPr>
            </w:pPr>
            <w:r w:rsidRPr="009C1E9A">
              <w:rPr>
                <w:b/>
                <w:u w:val="single"/>
              </w:rPr>
              <w:t>RULEMAKING AUTHORITY</w:t>
            </w:r>
            <w:r>
              <w:rPr>
                <w:b/>
              </w:rPr>
              <w:t xml:space="preserve"> </w:t>
            </w:r>
          </w:p>
          <w:p w14:paraId="3352630F" w14:textId="77777777" w:rsidR="008423E4" w:rsidRDefault="008423E4" w:rsidP="00D10E71"/>
          <w:p w14:paraId="7AAEF443" w14:textId="77777777" w:rsidR="00994CC9" w:rsidRDefault="00301E01" w:rsidP="00D10E7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4DDA8ED" w14:textId="77777777" w:rsidR="008423E4" w:rsidRPr="00E21FDC" w:rsidRDefault="008423E4" w:rsidP="00D10E71">
            <w:pPr>
              <w:rPr>
                <w:b/>
              </w:rPr>
            </w:pPr>
          </w:p>
        </w:tc>
      </w:tr>
      <w:tr w:rsidR="00D50999" w14:paraId="466CB83C" w14:textId="77777777" w:rsidTr="00345119">
        <w:tc>
          <w:tcPr>
            <w:tcW w:w="9576" w:type="dxa"/>
          </w:tcPr>
          <w:p w14:paraId="13D33137" w14:textId="77777777" w:rsidR="008423E4" w:rsidRPr="00A8133F" w:rsidRDefault="00301E01" w:rsidP="00D10E71">
            <w:pPr>
              <w:rPr>
                <w:b/>
              </w:rPr>
            </w:pPr>
            <w:r w:rsidRPr="009C1E9A">
              <w:rPr>
                <w:b/>
                <w:u w:val="single"/>
              </w:rPr>
              <w:t>ANALYSIS</w:t>
            </w:r>
            <w:r>
              <w:rPr>
                <w:b/>
              </w:rPr>
              <w:t xml:space="preserve"> </w:t>
            </w:r>
          </w:p>
          <w:p w14:paraId="2813BD1C" w14:textId="77777777" w:rsidR="008423E4" w:rsidRDefault="008423E4" w:rsidP="00D10E71"/>
          <w:p w14:paraId="32A0F00D" w14:textId="0AA5C75A" w:rsidR="000657A6" w:rsidRDefault="00301E01" w:rsidP="00D10E71">
            <w:pPr>
              <w:pStyle w:val="Header"/>
              <w:jc w:val="both"/>
            </w:pPr>
            <w:r>
              <w:t>C.S.</w:t>
            </w:r>
            <w:r w:rsidR="00BA3121">
              <w:t>H.B. 1202 amends the Property Code to</w:t>
            </w:r>
            <w:r w:rsidR="0000398D">
              <w:t xml:space="preserve"> </w:t>
            </w:r>
            <w:r w:rsidR="00BD1153">
              <w:t>establish procedures</w:t>
            </w:r>
            <w:r>
              <w:t xml:space="preserve"> for the amendment of a dedicatory instrument to remove a discriminatory</w:t>
            </w:r>
            <w:r w:rsidR="00963C7B">
              <w:t xml:space="preserve"> provision</w:t>
            </w:r>
            <w:r w:rsidR="00BD1153">
              <w:t xml:space="preserve">, defined by the bill as a restrictive covenant, whether express or incorporated by reference, that prohibits the </w:t>
            </w:r>
            <w:r>
              <w:t xml:space="preserve">occupancy </w:t>
            </w:r>
            <w:r w:rsidR="00BD1153">
              <w:t>by or the sale, lease,</w:t>
            </w:r>
            <w:r>
              <w:t xml:space="preserve"> conveyance,</w:t>
            </w:r>
            <w:r w:rsidR="00BD1153">
              <w:t xml:space="preserve"> or transfer of real property or an interest in real property to a person because of race, color, religion, or national origin and </w:t>
            </w:r>
            <w:r w:rsidR="00273621">
              <w:t xml:space="preserve">that </w:t>
            </w:r>
            <w:r w:rsidR="00BD1153">
              <w:t>is void under applicable state law.</w:t>
            </w:r>
          </w:p>
          <w:p w14:paraId="45A70779" w14:textId="4D54C828" w:rsidR="00963C7B" w:rsidRDefault="00963C7B" w:rsidP="00D10E71">
            <w:pPr>
              <w:pStyle w:val="Header"/>
              <w:jc w:val="both"/>
            </w:pPr>
          </w:p>
          <w:p w14:paraId="488F81CB" w14:textId="20D97A02" w:rsidR="00963C7B" w:rsidRPr="00963C7B" w:rsidRDefault="00301E01" w:rsidP="00D10E71">
            <w:pPr>
              <w:pStyle w:val="Header"/>
              <w:jc w:val="both"/>
              <w:rPr>
                <w:b/>
              </w:rPr>
            </w:pPr>
            <w:r>
              <w:rPr>
                <w:b/>
              </w:rPr>
              <w:t>Property Subject to a Property Owners' Association</w:t>
            </w:r>
          </w:p>
          <w:p w14:paraId="1B8FE96B" w14:textId="77777777" w:rsidR="000657A6" w:rsidRDefault="000657A6" w:rsidP="00D10E71">
            <w:pPr>
              <w:pStyle w:val="Header"/>
              <w:jc w:val="both"/>
            </w:pPr>
          </w:p>
          <w:p w14:paraId="184AA282" w14:textId="786CACBD" w:rsidR="009C36CD" w:rsidRDefault="00301E01" w:rsidP="00D10E71">
            <w:pPr>
              <w:pStyle w:val="Header"/>
              <w:jc w:val="both"/>
            </w:pPr>
            <w:r>
              <w:t>C.S.</w:t>
            </w:r>
            <w:r w:rsidR="00963C7B">
              <w:t xml:space="preserve">H.B. 1202 authorizes </w:t>
            </w:r>
            <w:r w:rsidR="0000398D">
              <w:t>the governing body of a property owners' association to amend a dedicatory instrument to remove a discriminatory provision by a majority vote of the governing body on its own motion or on the motion of an association mem</w:t>
            </w:r>
            <w:r w:rsidR="00C30663">
              <w:t xml:space="preserve">ber. The bill sets out </w:t>
            </w:r>
            <w:r w:rsidR="00C30663" w:rsidRPr="00690E6F">
              <w:t>the circumstances</w:t>
            </w:r>
            <w:r w:rsidR="00C30663">
              <w:t xml:space="preserve"> under which that amendment is effective.</w:t>
            </w:r>
          </w:p>
          <w:p w14:paraId="609F6849" w14:textId="5387126B" w:rsidR="00C30663" w:rsidRDefault="00C30663" w:rsidP="00D10E71">
            <w:pPr>
              <w:pStyle w:val="Header"/>
              <w:jc w:val="both"/>
            </w:pPr>
          </w:p>
          <w:p w14:paraId="2759EA65" w14:textId="23467014" w:rsidR="00A936B7" w:rsidRDefault="00301E01" w:rsidP="00D10E71">
            <w:pPr>
              <w:pStyle w:val="Header"/>
              <w:jc w:val="both"/>
            </w:pPr>
            <w:r>
              <w:t>C.S.</w:t>
            </w:r>
            <w:r w:rsidR="00C30663">
              <w:t xml:space="preserve">H.B. 1202 </w:t>
            </w:r>
            <w:r w:rsidR="000C5232">
              <w:t>requires</w:t>
            </w:r>
            <w:r w:rsidR="00F23634">
              <w:t xml:space="preserve"> </w:t>
            </w:r>
            <w:r w:rsidR="00C30663">
              <w:t>the governing body of a property owners' association</w:t>
            </w:r>
            <w:r w:rsidR="0072125D">
              <w:t xml:space="preserve"> </w:t>
            </w:r>
            <w:r w:rsidR="00C30663">
              <w:t>to amend a dedicatory instrument</w:t>
            </w:r>
            <w:r>
              <w:t xml:space="preserve"> to remove a discriminatory provision under the following </w:t>
            </w:r>
            <w:r w:rsidR="000C5232">
              <w:t>conditions</w:t>
            </w:r>
            <w:r>
              <w:t>:</w:t>
            </w:r>
          </w:p>
          <w:p w14:paraId="58D45B33" w14:textId="6495BE15" w:rsidR="00A936B7" w:rsidRDefault="00301E01" w:rsidP="00D10E71">
            <w:pPr>
              <w:pStyle w:val="Header"/>
              <w:numPr>
                <w:ilvl w:val="0"/>
                <w:numId w:val="1"/>
              </w:numPr>
              <w:jc w:val="both"/>
            </w:pPr>
            <w:r>
              <w:t>the dedicatory i</w:t>
            </w:r>
            <w:r>
              <w:t xml:space="preserve">nstrument </w:t>
            </w:r>
            <w:r w:rsidR="00C30663" w:rsidRPr="00C30663">
              <w:t>contains provisions for the circulation of a petition by the owners of property in the subdivision or development to am</w:t>
            </w:r>
            <w:r w:rsidR="00C30663">
              <w:t>end the dedicatory instrument</w:t>
            </w:r>
            <w:r>
              <w:t>;</w:t>
            </w:r>
          </w:p>
          <w:p w14:paraId="073194A5" w14:textId="5FAA26F6" w:rsidR="00A936B7" w:rsidRDefault="00301E01" w:rsidP="00D10E71">
            <w:pPr>
              <w:pStyle w:val="Header"/>
              <w:numPr>
                <w:ilvl w:val="0"/>
                <w:numId w:val="1"/>
              </w:numPr>
              <w:jc w:val="both"/>
            </w:pPr>
            <w:r>
              <w:t xml:space="preserve">a petition to remove the </w:t>
            </w:r>
            <w:r w:rsidR="000C5232">
              <w:t xml:space="preserve">discriminatory </w:t>
            </w:r>
            <w:r>
              <w:t>provision is circulated in accordance with the dedicator</w:t>
            </w:r>
            <w:r>
              <w:t>y instrument's provisions; and</w:t>
            </w:r>
          </w:p>
          <w:p w14:paraId="329BF5E3" w14:textId="1DA58476" w:rsidR="00A936B7" w:rsidRDefault="00301E01" w:rsidP="00D10E71">
            <w:pPr>
              <w:pStyle w:val="Header"/>
              <w:numPr>
                <w:ilvl w:val="0"/>
                <w:numId w:val="1"/>
              </w:numPr>
              <w:jc w:val="both"/>
            </w:pPr>
            <w:r>
              <w:t>without regard to any threshold for approval of a petition established by the dedicatory instrument, the petition is approved by the owners of at least 10 percent of the total number of lots or units subject to the dedicatory</w:t>
            </w:r>
            <w:r>
              <w:t xml:space="preserve"> instrument. </w:t>
            </w:r>
          </w:p>
          <w:p w14:paraId="0DC51B93" w14:textId="4D904460" w:rsidR="00C30663" w:rsidRDefault="00301E01" w:rsidP="00D10E71">
            <w:pPr>
              <w:pStyle w:val="Header"/>
              <w:jc w:val="both"/>
            </w:pPr>
            <w:r>
              <w:t xml:space="preserve">The bill sets out </w:t>
            </w:r>
            <w:r w:rsidRPr="00C03BBA">
              <w:t>the circumstances</w:t>
            </w:r>
            <w:r>
              <w:t xml:space="preserve"> under which that amendment is effective.</w:t>
            </w:r>
          </w:p>
          <w:p w14:paraId="6C68BB2D" w14:textId="07544D48" w:rsidR="00963C7B" w:rsidRDefault="00963C7B" w:rsidP="00D10E71">
            <w:pPr>
              <w:pStyle w:val="Header"/>
              <w:jc w:val="both"/>
            </w:pPr>
          </w:p>
          <w:p w14:paraId="48256F24" w14:textId="44BE53C1" w:rsidR="00963C7B" w:rsidRPr="00963C7B" w:rsidRDefault="00301E01" w:rsidP="00D10E71">
            <w:pPr>
              <w:pStyle w:val="Header"/>
              <w:jc w:val="both"/>
              <w:rPr>
                <w:b/>
              </w:rPr>
            </w:pPr>
            <w:r>
              <w:rPr>
                <w:b/>
              </w:rPr>
              <w:t>Property Not Subject to a Property Owners' Association</w:t>
            </w:r>
          </w:p>
          <w:p w14:paraId="77C7C6A7" w14:textId="2EB37C3B" w:rsidR="004373BC" w:rsidRDefault="004373BC" w:rsidP="00D10E71">
            <w:pPr>
              <w:pStyle w:val="Header"/>
              <w:jc w:val="both"/>
            </w:pPr>
          </w:p>
          <w:p w14:paraId="7FDA64FD" w14:textId="3EE8E77E" w:rsidR="00C30663" w:rsidRDefault="00301E01" w:rsidP="00D10E71">
            <w:pPr>
              <w:pStyle w:val="Header"/>
              <w:jc w:val="both"/>
            </w:pPr>
            <w:r>
              <w:t>C.S.</w:t>
            </w:r>
            <w:r w:rsidR="004373BC">
              <w:t xml:space="preserve">H.B. 1202 </w:t>
            </w:r>
            <w:r w:rsidR="00AC1C47">
              <w:t>authorizes t</w:t>
            </w:r>
            <w:r w:rsidR="00AC1C47" w:rsidRPr="00AC1C47">
              <w:t>hree or more owners of property subject to a dedicatory instrument</w:t>
            </w:r>
            <w:r w:rsidR="00AC1C47">
              <w:t xml:space="preserve"> </w:t>
            </w:r>
            <w:r w:rsidR="00AC1C47" w:rsidRPr="00AC1C47">
              <w:t>that does not establish a property owners' association</w:t>
            </w:r>
            <w:r w:rsidR="00AC1C47">
              <w:t xml:space="preserve"> and</w:t>
            </w:r>
            <w:r w:rsidR="00AC1C47" w:rsidRPr="00AC1C47">
              <w:t xml:space="preserve"> that contains a discriminatory provision </w:t>
            </w:r>
            <w:r w:rsidR="00AC1C47">
              <w:t>to</w:t>
            </w:r>
            <w:r w:rsidR="00AC1C47" w:rsidRPr="00AC1C47">
              <w:t xml:space="preserve"> form an amendment committee for the sole purpose of amending the dedicatory instrument to remove the discriminatory provision</w:t>
            </w:r>
            <w:r w:rsidR="00AC1C47">
              <w:t>. The bill requires a</w:t>
            </w:r>
            <w:r w:rsidR="00583816">
              <w:t xml:space="preserve"> </w:t>
            </w:r>
            <w:r w:rsidR="00AC1C47" w:rsidRPr="00AC1C47">
              <w:t xml:space="preserve">committee </w:t>
            </w:r>
            <w:r w:rsidR="00AC1C47">
              <w:t>to</w:t>
            </w:r>
            <w:r w:rsidR="00AC1C47" w:rsidRPr="00AC1C47">
              <w:t xml:space="preserve"> file written notice of </w:t>
            </w:r>
            <w:r w:rsidR="00AC1C47">
              <w:t>its</w:t>
            </w:r>
            <w:r w:rsidR="00AC1C47" w:rsidRPr="00AC1C47">
              <w:t xml:space="preserve"> formation with the county clerk of each county in which property subject to the dedicatory instrument is located</w:t>
            </w:r>
            <w:r w:rsidR="00861A38">
              <w:t xml:space="preserve"> and sets out </w:t>
            </w:r>
            <w:r w:rsidR="000D727E">
              <w:t xml:space="preserve">requirements </w:t>
            </w:r>
            <w:r w:rsidR="00861A38">
              <w:t>relat</w:t>
            </w:r>
            <w:r w:rsidR="00F23634">
              <w:t>ing</w:t>
            </w:r>
            <w:r w:rsidR="00861A38">
              <w:t xml:space="preserve"> to that notice</w:t>
            </w:r>
            <w:r w:rsidR="00AC1C47" w:rsidRPr="00AC1C47">
              <w:t>.</w:t>
            </w:r>
            <w:r w:rsidR="00AC1C47">
              <w:t xml:space="preserve"> </w:t>
            </w:r>
            <w:r w:rsidR="00AC1C47" w:rsidRPr="00AC1C47">
              <w:t xml:space="preserve">Only one committee may operate </w:t>
            </w:r>
            <w:r w:rsidR="00AC1C47">
              <w:t>at one time</w:t>
            </w:r>
            <w:r w:rsidR="00D42E89">
              <w:t>,</w:t>
            </w:r>
            <w:r w:rsidR="00AC1C47">
              <w:t xml:space="preserve"> and i</w:t>
            </w:r>
            <w:r w:rsidR="00AC1C47" w:rsidRPr="00AC1C47">
              <w:t xml:space="preserve">f more than one committee files notice of formation for the same property subject to a dedicatory instrument, the first committee that files a </w:t>
            </w:r>
            <w:r w:rsidR="00AC1C47" w:rsidRPr="00F23634">
              <w:t>compliant</w:t>
            </w:r>
            <w:r w:rsidR="00AC1C47">
              <w:t xml:space="preserve"> </w:t>
            </w:r>
            <w:r w:rsidR="00AC1C47" w:rsidRPr="00AC1C47">
              <w:t xml:space="preserve">notice </w:t>
            </w:r>
            <w:r w:rsidR="00AC1C47">
              <w:t>of formation</w:t>
            </w:r>
            <w:r w:rsidR="00AC1C47" w:rsidRPr="00AC1C47">
              <w:t> has the authority to act.</w:t>
            </w:r>
          </w:p>
          <w:p w14:paraId="19DB6738" w14:textId="5D730461" w:rsidR="00861A38" w:rsidRDefault="00861A38" w:rsidP="00D10E71">
            <w:pPr>
              <w:pStyle w:val="Header"/>
              <w:jc w:val="both"/>
            </w:pPr>
          </w:p>
          <w:p w14:paraId="207BE65D" w14:textId="14DD7EB2" w:rsidR="00861A38" w:rsidRDefault="00301E01" w:rsidP="00D10E71">
            <w:pPr>
              <w:pStyle w:val="Header"/>
              <w:jc w:val="both"/>
            </w:pPr>
            <w:r>
              <w:t xml:space="preserve">C.S.H.B. 1202 requires the </w:t>
            </w:r>
            <w:r w:rsidRPr="00861A38">
              <w:t xml:space="preserve">committee </w:t>
            </w:r>
            <w:r>
              <w:t>to</w:t>
            </w:r>
            <w:r w:rsidRPr="00861A38">
              <w:t xml:space="preserve"> provide a copy of the notice of format</w:t>
            </w:r>
            <w:r w:rsidRPr="00861A38">
              <w:t>ion to the owners of property subject to the dedicatory instrument</w:t>
            </w:r>
            <w:r>
              <w:t xml:space="preserve"> n</w:t>
            </w:r>
            <w:r w:rsidRPr="00861A38">
              <w:t xml:space="preserve">ot later than the 30th day after the date </w:t>
            </w:r>
            <w:r>
              <w:t>the notice</w:t>
            </w:r>
            <w:r w:rsidRPr="00861A38">
              <w:t xml:space="preserve"> is filed with t</w:t>
            </w:r>
            <w:r>
              <w:t>he county clerk</w:t>
            </w:r>
            <w:r w:rsidR="00FF2BB2">
              <w:t xml:space="preserve"> and </w:t>
            </w:r>
            <w:r>
              <w:t xml:space="preserve">sets out the manner in which that notice may be provided. </w:t>
            </w:r>
            <w:r w:rsidRPr="00861A38">
              <w:t>The owner of property subject to a dedicat</w:t>
            </w:r>
            <w:r w:rsidRPr="00861A38">
              <w:t>ory instrument proposed to be amended may file an obje</w:t>
            </w:r>
            <w:r w:rsidR="004148F4">
              <w:t>ction to the proposed amendment</w:t>
            </w:r>
            <w:r w:rsidR="00710C64">
              <w:t>, but such an objection is effective only if it is signed by t</w:t>
            </w:r>
            <w:r w:rsidR="00710C64" w:rsidRPr="00710C64">
              <w:t>he owners of at least 25 percent of the units or lots subject to the dedicatory instrument</w:t>
            </w:r>
            <w:r w:rsidR="00710C64">
              <w:t xml:space="preserve"> and is filed with the appropriate county clerks within a specified time frame</w:t>
            </w:r>
            <w:r w:rsidR="004148F4">
              <w:t>. The bill</w:t>
            </w:r>
            <w:r w:rsidR="00710C64">
              <w:t xml:space="preserve"> </w:t>
            </w:r>
            <w:r w:rsidR="004148F4">
              <w:t xml:space="preserve">establishes that, if an </w:t>
            </w:r>
            <w:r w:rsidR="00710C64">
              <w:t xml:space="preserve">effective </w:t>
            </w:r>
            <w:r w:rsidR="004148F4">
              <w:t xml:space="preserve">objection is not filed, </w:t>
            </w:r>
            <w:r w:rsidR="004148F4" w:rsidRPr="004148F4">
              <w:t xml:space="preserve">the proposed amendment contained in the notice of </w:t>
            </w:r>
            <w:r w:rsidR="004148F4" w:rsidRPr="000D727E">
              <w:t>the committee's</w:t>
            </w:r>
            <w:r w:rsidR="004148F4" w:rsidRPr="004148F4">
              <w:t xml:space="preserve"> formation becomes effective on the date the notice is filed</w:t>
            </w:r>
            <w:r w:rsidR="004148F4">
              <w:t xml:space="preserve">. </w:t>
            </w:r>
            <w:r w:rsidR="004148F4" w:rsidRPr="004148F4">
              <w:t xml:space="preserve">A committee that does not file an amendment to a dedicatory instrument before the 120th day after the date the notice of </w:t>
            </w:r>
            <w:r w:rsidR="004148F4" w:rsidRPr="000D727E">
              <w:t>the committee's</w:t>
            </w:r>
            <w:r w:rsidR="004148F4" w:rsidRPr="004148F4">
              <w:t xml:space="preserve"> formation is filed wit</w:t>
            </w:r>
            <w:r w:rsidR="004148F4">
              <w:t>h the county clerk is dissolved. An amendment filed by a dissolved committee is void.</w:t>
            </w:r>
          </w:p>
          <w:p w14:paraId="74AA68D6" w14:textId="66F74DC3" w:rsidR="00963C7B" w:rsidRDefault="00963C7B" w:rsidP="00D10E71">
            <w:pPr>
              <w:pStyle w:val="Header"/>
              <w:jc w:val="both"/>
            </w:pPr>
          </w:p>
          <w:p w14:paraId="386F23E2" w14:textId="4EAA1B2D" w:rsidR="00963C7B" w:rsidRDefault="00301E01" w:rsidP="00D10E71">
            <w:pPr>
              <w:pStyle w:val="Header"/>
              <w:jc w:val="both"/>
              <w:rPr>
                <w:b/>
              </w:rPr>
            </w:pPr>
            <w:r>
              <w:rPr>
                <w:b/>
              </w:rPr>
              <w:t xml:space="preserve">General </w:t>
            </w:r>
            <w:r>
              <w:rPr>
                <w:b/>
              </w:rPr>
              <w:t>Provisions</w:t>
            </w:r>
          </w:p>
          <w:p w14:paraId="6EE17E7D" w14:textId="77777777" w:rsidR="00963C7B" w:rsidRPr="00D10E71" w:rsidRDefault="00963C7B" w:rsidP="00D10E71">
            <w:pPr>
              <w:pStyle w:val="Header"/>
              <w:jc w:val="both"/>
            </w:pPr>
          </w:p>
          <w:p w14:paraId="555025FD" w14:textId="0C89DD12" w:rsidR="00963C7B" w:rsidRPr="00963C7B" w:rsidRDefault="00301E01" w:rsidP="00D10E71">
            <w:pPr>
              <w:pStyle w:val="Header"/>
              <w:jc w:val="both"/>
            </w:pPr>
            <w:r>
              <w:t xml:space="preserve">C.S.H.B. 1202 </w:t>
            </w:r>
            <w:r w:rsidRPr="00963C7B">
              <w:t>applies to any dedicatory instrument, regardless of the date on which the instrument was recorded.</w:t>
            </w:r>
            <w:r>
              <w:t xml:space="preserve"> The bill's provisions prevail to the extent of any conflict with another provision of the Property Code. The bill voids an amendmen</w:t>
            </w:r>
            <w:r>
              <w:t>t to a dedicatory instrument under the bill's provisions that amends a provision other than a discriminatory provision.</w:t>
            </w:r>
          </w:p>
          <w:p w14:paraId="024905B6" w14:textId="77777777" w:rsidR="008423E4" w:rsidRPr="00835628" w:rsidRDefault="008423E4" w:rsidP="00D10E71">
            <w:pPr>
              <w:rPr>
                <w:b/>
              </w:rPr>
            </w:pPr>
          </w:p>
        </w:tc>
      </w:tr>
      <w:tr w:rsidR="00D50999" w14:paraId="6AD149E4" w14:textId="77777777" w:rsidTr="00345119">
        <w:tc>
          <w:tcPr>
            <w:tcW w:w="9576" w:type="dxa"/>
          </w:tcPr>
          <w:p w14:paraId="53E4BA94" w14:textId="77777777" w:rsidR="008423E4" w:rsidRPr="00A8133F" w:rsidRDefault="00301E01" w:rsidP="00D10E71">
            <w:pPr>
              <w:rPr>
                <w:b/>
              </w:rPr>
            </w:pPr>
            <w:r w:rsidRPr="009C1E9A">
              <w:rPr>
                <w:b/>
                <w:u w:val="single"/>
              </w:rPr>
              <w:t>EFFECTIVE DATE</w:t>
            </w:r>
            <w:r>
              <w:rPr>
                <w:b/>
              </w:rPr>
              <w:t xml:space="preserve"> </w:t>
            </w:r>
          </w:p>
          <w:p w14:paraId="08D69603" w14:textId="77777777" w:rsidR="008423E4" w:rsidRDefault="008423E4" w:rsidP="00D10E71"/>
          <w:p w14:paraId="2B45A731" w14:textId="77777777" w:rsidR="008423E4" w:rsidRPr="003624F2" w:rsidRDefault="00301E01" w:rsidP="00D10E71">
            <w:pPr>
              <w:pStyle w:val="Header"/>
              <w:tabs>
                <w:tab w:val="clear" w:pos="4320"/>
                <w:tab w:val="clear" w:pos="8640"/>
              </w:tabs>
              <w:jc w:val="both"/>
            </w:pPr>
            <w:r>
              <w:t>On passage, or, if the bill does not receive the necessary vote, September 1, 2021.</w:t>
            </w:r>
          </w:p>
          <w:p w14:paraId="2A2BBBD3" w14:textId="77777777" w:rsidR="008423E4" w:rsidRPr="00233FDB" w:rsidRDefault="008423E4" w:rsidP="00D10E71">
            <w:pPr>
              <w:rPr>
                <w:b/>
              </w:rPr>
            </w:pPr>
          </w:p>
        </w:tc>
      </w:tr>
      <w:tr w:rsidR="00D50999" w14:paraId="3C5E4073" w14:textId="77777777" w:rsidTr="00345119">
        <w:tc>
          <w:tcPr>
            <w:tcW w:w="9576" w:type="dxa"/>
          </w:tcPr>
          <w:p w14:paraId="215B08F0" w14:textId="77777777" w:rsidR="008E3703" w:rsidRDefault="00301E01" w:rsidP="00D10E71">
            <w:pPr>
              <w:jc w:val="both"/>
              <w:rPr>
                <w:b/>
                <w:u w:val="single"/>
              </w:rPr>
            </w:pPr>
            <w:r>
              <w:rPr>
                <w:b/>
                <w:u w:val="single"/>
              </w:rPr>
              <w:t xml:space="preserve">COMPARISON OF ORIGINAL AND </w:t>
            </w:r>
            <w:r>
              <w:rPr>
                <w:b/>
                <w:u w:val="single"/>
              </w:rPr>
              <w:t>SUBSTITUTE</w:t>
            </w:r>
          </w:p>
          <w:p w14:paraId="6E44F317" w14:textId="77777777" w:rsidR="0013601E" w:rsidRDefault="0013601E" w:rsidP="00D10E71">
            <w:pPr>
              <w:jc w:val="both"/>
            </w:pPr>
          </w:p>
          <w:p w14:paraId="293578D6" w14:textId="19E630E4" w:rsidR="0013601E" w:rsidRDefault="00301E01" w:rsidP="00D10E71">
            <w:pPr>
              <w:jc w:val="both"/>
            </w:pPr>
            <w:r>
              <w:t>While C.S.H.B. 1202 may differ from the original in minor or nonsubstantive ways, the following summarizes the substantial differences between the introduced and committee substitute versions of the bill.</w:t>
            </w:r>
          </w:p>
          <w:p w14:paraId="2EEE50DA" w14:textId="5F8BB783" w:rsidR="0013601E" w:rsidRDefault="0013601E" w:rsidP="00D10E71">
            <w:pPr>
              <w:jc w:val="both"/>
            </w:pPr>
          </w:p>
          <w:p w14:paraId="0E0C0C76" w14:textId="29AD5F67" w:rsidR="0013601E" w:rsidRDefault="00301E01" w:rsidP="00D10E71">
            <w:pPr>
              <w:jc w:val="both"/>
            </w:pPr>
            <w:r>
              <w:t>The original defined "discriminatory p</w:t>
            </w:r>
            <w:r>
              <w:t xml:space="preserve">rovision" as </w:t>
            </w:r>
            <w:r w:rsidRPr="0013601E">
              <w:t>a restrictive covenant</w:t>
            </w:r>
            <w:r>
              <w:t xml:space="preserve"> </w:t>
            </w:r>
            <w:r w:rsidRPr="0013601E">
              <w:t xml:space="preserve">that prohibits the </w:t>
            </w:r>
            <w:r>
              <w:t>use</w:t>
            </w:r>
            <w:r w:rsidRPr="0013601E">
              <w:t xml:space="preserve"> by or the sale, lease, or transfer of real property or an interest in real property to a person because of race, color, religion, or national origin and that is void under applicable state law</w:t>
            </w:r>
            <w:r>
              <w:t>. The</w:t>
            </w:r>
            <w:r>
              <w:t xml:space="preserve"> substitute revises that definition to specify that the restrictive covenant prohibits the occupancy by or the sale, lease, conveyance, or transfer of real property or an interest in real property to a person based on those factors.</w:t>
            </w:r>
          </w:p>
          <w:p w14:paraId="46FB93B4" w14:textId="2EA4141A" w:rsidR="0013601E" w:rsidRPr="0013601E" w:rsidRDefault="0013601E" w:rsidP="00D10E71">
            <w:pPr>
              <w:jc w:val="both"/>
            </w:pPr>
          </w:p>
        </w:tc>
      </w:tr>
      <w:tr w:rsidR="00D50999" w14:paraId="24C50DCC" w14:textId="77777777" w:rsidTr="00345119">
        <w:tc>
          <w:tcPr>
            <w:tcW w:w="9576" w:type="dxa"/>
          </w:tcPr>
          <w:p w14:paraId="4CBDB491" w14:textId="77777777" w:rsidR="008E3703" w:rsidRPr="009C1E9A" w:rsidRDefault="008E3703" w:rsidP="00D10E71">
            <w:pPr>
              <w:rPr>
                <w:b/>
                <w:u w:val="single"/>
              </w:rPr>
            </w:pPr>
          </w:p>
        </w:tc>
      </w:tr>
      <w:tr w:rsidR="00D50999" w14:paraId="5232E223" w14:textId="77777777" w:rsidTr="00345119">
        <w:tc>
          <w:tcPr>
            <w:tcW w:w="9576" w:type="dxa"/>
          </w:tcPr>
          <w:p w14:paraId="2493B927" w14:textId="77777777" w:rsidR="008E3703" w:rsidRPr="008E3703" w:rsidRDefault="008E3703" w:rsidP="00D10E71">
            <w:pPr>
              <w:jc w:val="both"/>
            </w:pPr>
          </w:p>
        </w:tc>
      </w:tr>
    </w:tbl>
    <w:p w14:paraId="7A0CB187" w14:textId="77777777" w:rsidR="008423E4" w:rsidRPr="00BE0E75" w:rsidRDefault="008423E4" w:rsidP="00D10E71">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34458" w14:textId="77777777" w:rsidR="00000000" w:rsidRDefault="00301E01">
      <w:r>
        <w:separator/>
      </w:r>
    </w:p>
  </w:endnote>
  <w:endnote w:type="continuationSeparator" w:id="0">
    <w:p w14:paraId="32B5B8F1" w14:textId="77777777" w:rsidR="00000000" w:rsidRDefault="0030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684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50999" w14:paraId="33CAFAB6" w14:textId="77777777" w:rsidTr="009C1E9A">
      <w:trPr>
        <w:cantSplit/>
      </w:trPr>
      <w:tc>
        <w:tcPr>
          <w:tcW w:w="0" w:type="pct"/>
        </w:tcPr>
        <w:p w14:paraId="22C58DB2" w14:textId="77777777" w:rsidR="00137D90" w:rsidRDefault="00137D90" w:rsidP="009C1E9A">
          <w:pPr>
            <w:pStyle w:val="Footer"/>
            <w:tabs>
              <w:tab w:val="clear" w:pos="8640"/>
              <w:tab w:val="right" w:pos="9360"/>
            </w:tabs>
          </w:pPr>
        </w:p>
      </w:tc>
      <w:tc>
        <w:tcPr>
          <w:tcW w:w="2395" w:type="pct"/>
        </w:tcPr>
        <w:p w14:paraId="0FD9ABF3" w14:textId="77777777" w:rsidR="00137D90" w:rsidRDefault="00137D90" w:rsidP="009C1E9A">
          <w:pPr>
            <w:pStyle w:val="Footer"/>
            <w:tabs>
              <w:tab w:val="clear" w:pos="8640"/>
              <w:tab w:val="right" w:pos="9360"/>
            </w:tabs>
          </w:pPr>
        </w:p>
        <w:p w14:paraId="2CA64B4A" w14:textId="77777777" w:rsidR="001A4310" w:rsidRDefault="001A4310" w:rsidP="009C1E9A">
          <w:pPr>
            <w:pStyle w:val="Footer"/>
            <w:tabs>
              <w:tab w:val="clear" w:pos="8640"/>
              <w:tab w:val="right" w:pos="9360"/>
            </w:tabs>
          </w:pPr>
        </w:p>
        <w:p w14:paraId="02A330B3" w14:textId="77777777" w:rsidR="00137D90" w:rsidRDefault="00137D90" w:rsidP="009C1E9A">
          <w:pPr>
            <w:pStyle w:val="Footer"/>
            <w:tabs>
              <w:tab w:val="clear" w:pos="8640"/>
              <w:tab w:val="right" w:pos="9360"/>
            </w:tabs>
          </w:pPr>
        </w:p>
      </w:tc>
      <w:tc>
        <w:tcPr>
          <w:tcW w:w="2453" w:type="pct"/>
        </w:tcPr>
        <w:p w14:paraId="498FFC33" w14:textId="77777777" w:rsidR="00137D90" w:rsidRDefault="00137D90" w:rsidP="009C1E9A">
          <w:pPr>
            <w:pStyle w:val="Footer"/>
            <w:tabs>
              <w:tab w:val="clear" w:pos="8640"/>
              <w:tab w:val="right" w:pos="9360"/>
            </w:tabs>
            <w:jc w:val="right"/>
          </w:pPr>
        </w:p>
      </w:tc>
    </w:tr>
    <w:tr w:rsidR="00D50999" w14:paraId="7037F1B7" w14:textId="77777777" w:rsidTr="009C1E9A">
      <w:trPr>
        <w:cantSplit/>
      </w:trPr>
      <w:tc>
        <w:tcPr>
          <w:tcW w:w="0" w:type="pct"/>
        </w:tcPr>
        <w:p w14:paraId="0D00DBDB" w14:textId="77777777" w:rsidR="00EC379B" w:rsidRDefault="00EC379B" w:rsidP="009C1E9A">
          <w:pPr>
            <w:pStyle w:val="Footer"/>
            <w:tabs>
              <w:tab w:val="clear" w:pos="8640"/>
              <w:tab w:val="right" w:pos="9360"/>
            </w:tabs>
          </w:pPr>
        </w:p>
      </w:tc>
      <w:tc>
        <w:tcPr>
          <w:tcW w:w="2395" w:type="pct"/>
        </w:tcPr>
        <w:p w14:paraId="74FF1BD3" w14:textId="5BEEFD42" w:rsidR="00EC379B" w:rsidRPr="009C1E9A" w:rsidRDefault="00301E01" w:rsidP="009C1E9A">
          <w:pPr>
            <w:pStyle w:val="Footer"/>
            <w:tabs>
              <w:tab w:val="clear" w:pos="8640"/>
              <w:tab w:val="right" w:pos="9360"/>
            </w:tabs>
            <w:rPr>
              <w:rFonts w:ascii="Shruti" w:hAnsi="Shruti"/>
              <w:sz w:val="22"/>
            </w:rPr>
          </w:pPr>
          <w:r>
            <w:rPr>
              <w:rFonts w:ascii="Shruti" w:hAnsi="Shruti"/>
              <w:sz w:val="22"/>
            </w:rPr>
            <w:t>87R 20519</w:t>
          </w:r>
        </w:p>
      </w:tc>
      <w:tc>
        <w:tcPr>
          <w:tcW w:w="2453" w:type="pct"/>
        </w:tcPr>
        <w:p w14:paraId="79DB617D" w14:textId="34882539" w:rsidR="00EC379B" w:rsidRDefault="00301E01" w:rsidP="009C1E9A">
          <w:pPr>
            <w:pStyle w:val="Footer"/>
            <w:tabs>
              <w:tab w:val="clear" w:pos="8640"/>
              <w:tab w:val="right" w:pos="9360"/>
            </w:tabs>
            <w:jc w:val="right"/>
          </w:pPr>
          <w:r>
            <w:fldChar w:fldCharType="begin"/>
          </w:r>
          <w:r>
            <w:instrText xml:space="preserve"> DOCPROPERTY  OTID  \* MERGEFORMAT </w:instrText>
          </w:r>
          <w:r>
            <w:fldChar w:fldCharType="separate"/>
          </w:r>
          <w:r w:rsidR="00F42826">
            <w:t>21.108.59</w:t>
          </w:r>
          <w:r>
            <w:fldChar w:fldCharType="end"/>
          </w:r>
        </w:p>
      </w:tc>
    </w:tr>
    <w:tr w:rsidR="00D50999" w14:paraId="38A38688" w14:textId="77777777" w:rsidTr="009C1E9A">
      <w:trPr>
        <w:cantSplit/>
      </w:trPr>
      <w:tc>
        <w:tcPr>
          <w:tcW w:w="0" w:type="pct"/>
        </w:tcPr>
        <w:p w14:paraId="2D40FCAE" w14:textId="77777777" w:rsidR="00EC379B" w:rsidRDefault="00EC379B" w:rsidP="009C1E9A">
          <w:pPr>
            <w:pStyle w:val="Footer"/>
            <w:tabs>
              <w:tab w:val="clear" w:pos="4320"/>
              <w:tab w:val="clear" w:pos="8640"/>
              <w:tab w:val="left" w:pos="2865"/>
            </w:tabs>
          </w:pPr>
        </w:p>
      </w:tc>
      <w:tc>
        <w:tcPr>
          <w:tcW w:w="2395" w:type="pct"/>
        </w:tcPr>
        <w:p w14:paraId="312A7B26" w14:textId="7EA7E54F" w:rsidR="00EC379B" w:rsidRPr="009C1E9A" w:rsidRDefault="00301E01" w:rsidP="009C1E9A">
          <w:pPr>
            <w:pStyle w:val="Footer"/>
            <w:tabs>
              <w:tab w:val="clear" w:pos="4320"/>
              <w:tab w:val="clear" w:pos="8640"/>
              <w:tab w:val="left" w:pos="2865"/>
            </w:tabs>
            <w:rPr>
              <w:rFonts w:ascii="Shruti" w:hAnsi="Shruti"/>
              <w:sz w:val="22"/>
            </w:rPr>
          </w:pPr>
          <w:r>
            <w:rPr>
              <w:rFonts w:ascii="Shruti" w:hAnsi="Shruti"/>
              <w:sz w:val="22"/>
            </w:rPr>
            <w:t>Substitute Document Number: 87R 18686</w:t>
          </w:r>
        </w:p>
      </w:tc>
      <w:tc>
        <w:tcPr>
          <w:tcW w:w="2453" w:type="pct"/>
        </w:tcPr>
        <w:p w14:paraId="45C335C6" w14:textId="77777777" w:rsidR="00EC379B" w:rsidRDefault="00EC379B" w:rsidP="006D504F">
          <w:pPr>
            <w:pStyle w:val="Footer"/>
            <w:rPr>
              <w:rStyle w:val="PageNumber"/>
            </w:rPr>
          </w:pPr>
        </w:p>
        <w:p w14:paraId="6CF2C604" w14:textId="77777777" w:rsidR="00EC379B" w:rsidRDefault="00EC379B" w:rsidP="009C1E9A">
          <w:pPr>
            <w:pStyle w:val="Footer"/>
            <w:tabs>
              <w:tab w:val="clear" w:pos="8640"/>
              <w:tab w:val="right" w:pos="9360"/>
            </w:tabs>
            <w:jc w:val="right"/>
          </w:pPr>
        </w:p>
      </w:tc>
    </w:tr>
    <w:tr w:rsidR="00D50999" w14:paraId="31596EFE" w14:textId="77777777" w:rsidTr="009C1E9A">
      <w:trPr>
        <w:cantSplit/>
        <w:trHeight w:val="323"/>
      </w:trPr>
      <w:tc>
        <w:tcPr>
          <w:tcW w:w="0" w:type="pct"/>
          <w:gridSpan w:val="3"/>
        </w:tcPr>
        <w:p w14:paraId="746CEBA4" w14:textId="677729D3" w:rsidR="00EC379B" w:rsidRDefault="00301E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A2530">
            <w:rPr>
              <w:rStyle w:val="PageNumber"/>
              <w:noProof/>
            </w:rPr>
            <w:t>1</w:t>
          </w:r>
          <w:r>
            <w:rPr>
              <w:rStyle w:val="PageNumber"/>
            </w:rPr>
            <w:fldChar w:fldCharType="end"/>
          </w:r>
        </w:p>
        <w:p w14:paraId="1198E36C" w14:textId="77777777" w:rsidR="00EC379B" w:rsidRDefault="00EC379B" w:rsidP="009C1E9A">
          <w:pPr>
            <w:pStyle w:val="Footer"/>
            <w:tabs>
              <w:tab w:val="clear" w:pos="8640"/>
              <w:tab w:val="right" w:pos="9360"/>
            </w:tabs>
            <w:jc w:val="center"/>
          </w:pPr>
        </w:p>
      </w:tc>
    </w:tr>
  </w:tbl>
  <w:p w14:paraId="4F03C80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E3E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756C" w14:textId="77777777" w:rsidR="00000000" w:rsidRDefault="00301E01">
      <w:r>
        <w:separator/>
      </w:r>
    </w:p>
  </w:footnote>
  <w:footnote w:type="continuationSeparator" w:id="0">
    <w:p w14:paraId="500B711A" w14:textId="77777777" w:rsidR="00000000" w:rsidRDefault="0030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F36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3FC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25B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A05FA"/>
    <w:multiLevelType w:val="hybridMultilevel"/>
    <w:tmpl w:val="E30E36A6"/>
    <w:lvl w:ilvl="0" w:tplc="E524553E">
      <w:start w:val="1"/>
      <w:numFmt w:val="bullet"/>
      <w:lvlText w:val=""/>
      <w:lvlJc w:val="left"/>
      <w:pPr>
        <w:tabs>
          <w:tab w:val="num" w:pos="780"/>
        </w:tabs>
        <w:ind w:left="780" w:hanging="360"/>
      </w:pPr>
      <w:rPr>
        <w:rFonts w:ascii="Symbol" w:hAnsi="Symbol" w:hint="default"/>
      </w:rPr>
    </w:lvl>
    <w:lvl w:ilvl="1" w:tplc="AE3E18A6" w:tentative="1">
      <w:start w:val="1"/>
      <w:numFmt w:val="bullet"/>
      <w:lvlText w:val="o"/>
      <w:lvlJc w:val="left"/>
      <w:pPr>
        <w:ind w:left="1500" w:hanging="360"/>
      </w:pPr>
      <w:rPr>
        <w:rFonts w:ascii="Courier New" w:hAnsi="Courier New" w:cs="Courier New" w:hint="default"/>
      </w:rPr>
    </w:lvl>
    <w:lvl w:ilvl="2" w:tplc="E714896E" w:tentative="1">
      <w:start w:val="1"/>
      <w:numFmt w:val="bullet"/>
      <w:lvlText w:val=""/>
      <w:lvlJc w:val="left"/>
      <w:pPr>
        <w:ind w:left="2220" w:hanging="360"/>
      </w:pPr>
      <w:rPr>
        <w:rFonts w:ascii="Wingdings" w:hAnsi="Wingdings" w:hint="default"/>
      </w:rPr>
    </w:lvl>
    <w:lvl w:ilvl="3" w:tplc="C8146226" w:tentative="1">
      <w:start w:val="1"/>
      <w:numFmt w:val="bullet"/>
      <w:lvlText w:val=""/>
      <w:lvlJc w:val="left"/>
      <w:pPr>
        <w:ind w:left="2940" w:hanging="360"/>
      </w:pPr>
      <w:rPr>
        <w:rFonts w:ascii="Symbol" w:hAnsi="Symbol" w:hint="default"/>
      </w:rPr>
    </w:lvl>
    <w:lvl w:ilvl="4" w:tplc="D2CA3108" w:tentative="1">
      <w:start w:val="1"/>
      <w:numFmt w:val="bullet"/>
      <w:lvlText w:val="o"/>
      <w:lvlJc w:val="left"/>
      <w:pPr>
        <w:ind w:left="3660" w:hanging="360"/>
      </w:pPr>
      <w:rPr>
        <w:rFonts w:ascii="Courier New" w:hAnsi="Courier New" w:cs="Courier New" w:hint="default"/>
      </w:rPr>
    </w:lvl>
    <w:lvl w:ilvl="5" w:tplc="6CC8A0C6" w:tentative="1">
      <w:start w:val="1"/>
      <w:numFmt w:val="bullet"/>
      <w:lvlText w:val=""/>
      <w:lvlJc w:val="left"/>
      <w:pPr>
        <w:ind w:left="4380" w:hanging="360"/>
      </w:pPr>
      <w:rPr>
        <w:rFonts w:ascii="Wingdings" w:hAnsi="Wingdings" w:hint="default"/>
      </w:rPr>
    </w:lvl>
    <w:lvl w:ilvl="6" w:tplc="4A7E2614" w:tentative="1">
      <w:start w:val="1"/>
      <w:numFmt w:val="bullet"/>
      <w:lvlText w:val=""/>
      <w:lvlJc w:val="left"/>
      <w:pPr>
        <w:ind w:left="5100" w:hanging="360"/>
      </w:pPr>
      <w:rPr>
        <w:rFonts w:ascii="Symbol" w:hAnsi="Symbol" w:hint="default"/>
      </w:rPr>
    </w:lvl>
    <w:lvl w:ilvl="7" w:tplc="17765B26" w:tentative="1">
      <w:start w:val="1"/>
      <w:numFmt w:val="bullet"/>
      <w:lvlText w:val="o"/>
      <w:lvlJc w:val="left"/>
      <w:pPr>
        <w:ind w:left="5820" w:hanging="360"/>
      </w:pPr>
      <w:rPr>
        <w:rFonts w:ascii="Courier New" w:hAnsi="Courier New" w:cs="Courier New" w:hint="default"/>
      </w:rPr>
    </w:lvl>
    <w:lvl w:ilvl="8" w:tplc="2FCA9F66"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1"/>
    <w:rsid w:val="00000A70"/>
    <w:rsid w:val="000032B8"/>
    <w:rsid w:val="0000398D"/>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7A6"/>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5232"/>
    <w:rsid w:val="000C6DC1"/>
    <w:rsid w:val="000C6E20"/>
    <w:rsid w:val="000C76D7"/>
    <w:rsid w:val="000C7F1D"/>
    <w:rsid w:val="000D2EBA"/>
    <w:rsid w:val="000D32A1"/>
    <w:rsid w:val="000D3725"/>
    <w:rsid w:val="000D46E5"/>
    <w:rsid w:val="000D727E"/>
    <w:rsid w:val="000D769C"/>
    <w:rsid w:val="000E1976"/>
    <w:rsid w:val="000E20F1"/>
    <w:rsid w:val="000E5B20"/>
    <w:rsid w:val="000E7C14"/>
    <w:rsid w:val="000F094C"/>
    <w:rsid w:val="000F18A2"/>
    <w:rsid w:val="000F2A7F"/>
    <w:rsid w:val="000F2B4D"/>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381C"/>
    <w:rsid w:val="0013601E"/>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62D"/>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5DBD"/>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621"/>
    <w:rsid w:val="00274C45"/>
    <w:rsid w:val="00275109"/>
    <w:rsid w:val="00275BEE"/>
    <w:rsid w:val="00277434"/>
    <w:rsid w:val="00280123"/>
    <w:rsid w:val="00281343"/>
    <w:rsid w:val="00281883"/>
    <w:rsid w:val="002874E3"/>
    <w:rsid w:val="00287656"/>
    <w:rsid w:val="00291518"/>
    <w:rsid w:val="00296FF0"/>
    <w:rsid w:val="002A17C0"/>
    <w:rsid w:val="002A253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1E01"/>
    <w:rsid w:val="00301F8D"/>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57D18"/>
    <w:rsid w:val="00361FE9"/>
    <w:rsid w:val="003624F2"/>
    <w:rsid w:val="00363854"/>
    <w:rsid w:val="00364315"/>
    <w:rsid w:val="003643E2"/>
    <w:rsid w:val="00370155"/>
    <w:rsid w:val="003712D5"/>
    <w:rsid w:val="003747DF"/>
    <w:rsid w:val="00377E3D"/>
    <w:rsid w:val="0038346C"/>
    <w:rsid w:val="003847E8"/>
    <w:rsid w:val="0038731D"/>
    <w:rsid w:val="00387B60"/>
    <w:rsid w:val="00390098"/>
    <w:rsid w:val="00392DA1"/>
    <w:rsid w:val="00393718"/>
    <w:rsid w:val="003A0296"/>
    <w:rsid w:val="003A10BC"/>
    <w:rsid w:val="003A5DAD"/>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8F4"/>
    <w:rsid w:val="00415139"/>
    <w:rsid w:val="004166BB"/>
    <w:rsid w:val="004174CD"/>
    <w:rsid w:val="004241AA"/>
    <w:rsid w:val="0042422E"/>
    <w:rsid w:val="0043190E"/>
    <w:rsid w:val="004324E9"/>
    <w:rsid w:val="004350F3"/>
    <w:rsid w:val="00436980"/>
    <w:rsid w:val="004373BC"/>
    <w:rsid w:val="00441016"/>
    <w:rsid w:val="00441F2F"/>
    <w:rsid w:val="0044228B"/>
    <w:rsid w:val="00447018"/>
    <w:rsid w:val="00450561"/>
    <w:rsid w:val="00450A40"/>
    <w:rsid w:val="00451D7C"/>
    <w:rsid w:val="00452FC3"/>
    <w:rsid w:val="004531C4"/>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4D76"/>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31D"/>
    <w:rsid w:val="005269CE"/>
    <w:rsid w:val="005304B2"/>
    <w:rsid w:val="005336BD"/>
    <w:rsid w:val="00534A49"/>
    <w:rsid w:val="0053619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816"/>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962"/>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0E6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8F9"/>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4F2"/>
    <w:rsid w:val="00710C64"/>
    <w:rsid w:val="0071131D"/>
    <w:rsid w:val="00711E3D"/>
    <w:rsid w:val="00711E85"/>
    <w:rsid w:val="00712DDA"/>
    <w:rsid w:val="00717739"/>
    <w:rsid w:val="00717DE4"/>
    <w:rsid w:val="0072125D"/>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0C54"/>
    <w:rsid w:val="0075287B"/>
    <w:rsid w:val="00755C7B"/>
    <w:rsid w:val="00755EC9"/>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1DC"/>
    <w:rsid w:val="007A0989"/>
    <w:rsid w:val="007A331F"/>
    <w:rsid w:val="007A3844"/>
    <w:rsid w:val="007A4381"/>
    <w:rsid w:val="007A5466"/>
    <w:rsid w:val="007A7EC1"/>
    <w:rsid w:val="007B4FCA"/>
    <w:rsid w:val="007B7B85"/>
    <w:rsid w:val="007C462E"/>
    <w:rsid w:val="007C496B"/>
    <w:rsid w:val="007C6803"/>
    <w:rsid w:val="007D1775"/>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1A38"/>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B7EA4"/>
    <w:rsid w:val="008C0809"/>
    <w:rsid w:val="008C132C"/>
    <w:rsid w:val="008C3FD0"/>
    <w:rsid w:val="008D27A5"/>
    <w:rsid w:val="008D2AAB"/>
    <w:rsid w:val="008D309C"/>
    <w:rsid w:val="008D58F9"/>
    <w:rsid w:val="008E3338"/>
    <w:rsid w:val="008E3703"/>
    <w:rsid w:val="008E47BE"/>
    <w:rsid w:val="008E6631"/>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4E51"/>
    <w:rsid w:val="0095696D"/>
    <w:rsid w:val="00963C7B"/>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4CC9"/>
    <w:rsid w:val="00995B0B"/>
    <w:rsid w:val="009A1883"/>
    <w:rsid w:val="009A2690"/>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7F38"/>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4E15"/>
    <w:rsid w:val="00A932BB"/>
    <w:rsid w:val="00A93579"/>
    <w:rsid w:val="00A936B7"/>
    <w:rsid w:val="00A93934"/>
    <w:rsid w:val="00A95D51"/>
    <w:rsid w:val="00AA18AE"/>
    <w:rsid w:val="00AA228B"/>
    <w:rsid w:val="00AA597A"/>
    <w:rsid w:val="00AA7E52"/>
    <w:rsid w:val="00AB1655"/>
    <w:rsid w:val="00AB1873"/>
    <w:rsid w:val="00AB2C05"/>
    <w:rsid w:val="00AB3536"/>
    <w:rsid w:val="00AB474B"/>
    <w:rsid w:val="00AB5CCC"/>
    <w:rsid w:val="00AB74E2"/>
    <w:rsid w:val="00AC1C47"/>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3CC"/>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336B"/>
    <w:rsid w:val="00B34F25"/>
    <w:rsid w:val="00B36CB5"/>
    <w:rsid w:val="00B43672"/>
    <w:rsid w:val="00B473D8"/>
    <w:rsid w:val="00B5165A"/>
    <w:rsid w:val="00B524C1"/>
    <w:rsid w:val="00B52C8D"/>
    <w:rsid w:val="00B564BF"/>
    <w:rsid w:val="00B6104E"/>
    <w:rsid w:val="00B610C7"/>
    <w:rsid w:val="00B62106"/>
    <w:rsid w:val="00B626A8"/>
    <w:rsid w:val="00B65695"/>
    <w:rsid w:val="00B66526"/>
    <w:rsid w:val="00B665A3"/>
    <w:rsid w:val="00B67E56"/>
    <w:rsid w:val="00B73BB4"/>
    <w:rsid w:val="00B80532"/>
    <w:rsid w:val="00B82039"/>
    <w:rsid w:val="00B82454"/>
    <w:rsid w:val="00B90097"/>
    <w:rsid w:val="00B90711"/>
    <w:rsid w:val="00B90999"/>
    <w:rsid w:val="00B91AD7"/>
    <w:rsid w:val="00B92D23"/>
    <w:rsid w:val="00B95BC8"/>
    <w:rsid w:val="00B96E87"/>
    <w:rsid w:val="00BA146A"/>
    <w:rsid w:val="00BA3121"/>
    <w:rsid w:val="00BA32EE"/>
    <w:rsid w:val="00BB5B36"/>
    <w:rsid w:val="00BC027B"/>
    <w:rsid w:val="00BC07E4"/>
    <w:rsid w:val="00BC30A6"/>
    <w:rsid w:val="00BC3ED3"/>
    <w:rsid w:val="00BC3EF6"/>
    <w:rsid w:val="00BC4116"/>
    <w:rsid w:val="00BC4E34"/>
    <w:rsid w:val="00BC51D0"/>
    <w:rsid w:val="00BC58E1"/>
    <w:rsid w:val="00BC59CA"/>
    <w:rsid w:val="00BC6462"/>
    <w:rsid w:val="00BD0A32"/>
    <w:rsid w:val="00BD1153"/>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BBA"/>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0663"/>
    <w:rsid w:val="00C3223B"/>
    <w:rsid w:val="00C333C6"/>
    <w:rsid w:val="00C35CC5"/>
    <w:rsid w:val="00C361C5"/>
    <w:rsid w:val="00C377D1"/>
    <w:rsid w:val="00C37BDA"/>
    <w:rsid w:val="00C37C84"/>
    <w:rsid w:val="00C42B41"/>
    <w:rsid w:val="00C46166"/>
    <w:rsid w:val="00C4710D"/>
    <w:rsid w:val="00C50CAD"/>
    <w:rsid w:val="00C54FC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36E"/>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FD4"/>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0E71"/>
    <w:rsid w:val="00D11B0B"/>
    <w:rsid w:val="00D12A3E"/>
    <w:rsid w:val="00D22160"/>
    <w:rsid w:val="00D22172"/>
    <w:rsid w:val="00D2301B"/>
    <w:rsid w:val="00D239EE"/>
    <w:rsid w:val="00D30534"/>
    <w:rsid w:val="00D35728"/>
    <w:rsid w:val="00D37BCF"/>
    <w:rsid w:val="00D40F93"/>
    <w:rsid w:val="00D42277"/>
    <w:rsid w:val="00D42E89"/>
    <w:rsid w:val="00D43C59"/>
    <w:rsid w:val="00D44ADE"/>
    <w:rsid w:val="00D50999"/>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E1"/>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0EE"/>
    <w:rsid w:val="00E2551E"/>
    <w:rsid w:val="00E26B13"/>
    <w:rsid w:val="00E27E5A"/>
    <w:rsid w:val="00E31135"/>
    <w:rsid w:val="00E317BA"/>
    <w:rsid w:val="00E3469B"/>
    <w:rsid w:val="00E34B29"/>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EC4"/>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63C0"/>
    <w:rsid w:val="00E869C7"/>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3634"/>
    <w:rsid w:val="00F25CC2"/>
    <w:rsid w:val="00F27573"/>
    <w:rsid w:val="00F31876"/>
    <w:rsid w:val="00F31C67"/>
    <w:rsid w:val="00F36FE0"/>
    <w:rsid w:val="00F37EA8"/>
    <w:rsid w:val="00F40B14"/>
    <w:rsid w:val="00F41186"/>
    <w:rsid w:val="00F41EEF"/>
    <w:rsid w:val="00F41FAC"/>
    <w:rsid w:val="00F423D3"/>
    <w:rsid w:val="00F42826"/>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9762C"/>
    <w:rsid w:val="00FA32FC"/>
    <w:rsid w:val="00FA59FD"/>
    <w:rsid w:val="00FA5D8C"/>
    <w:rsid w:val="00FA6403"/>
    <w:rsid w:val="00FB16CD"/>
    <w:rsid w:val="00FB2434"/>
    <w:rsid w:val="00FB423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BB2"/>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0978E-A032-4DCC-839E-BF666264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94CC9"/>
    <w:rPr>
      <w:sz w:val="16"/>
      <w:szCs w:val="16"/>
    </w:rPr>
  </w:style>
  <w:style w:type="paragraph" w:styleId="CommentText">
    <w:name w:val="annotation text"/>
    <w:basedOn w:val="Normal"/>
    <w:link w:val="CommentTextChar"/>
    <w:semiHidden/>
    <w:unhideWhenUsed/>
    <w:rsid w:val="00994CC9"/>
    <w:rPr>
      <w:sz w:val="20"/>
      <w:szCs w:val="20"/>
    </w:rPr>
  </w:style>
  <w:style w:type="character" w:customStyle="1" w:styleId="CommentTextChar">
    <w:name w:val="Comment Text Char"/>
    <w:basedOn w:val="DefaultParagraphFont"/>
    <w:link w:val="CommentText"/>
    <w:semiHidden/>
    <w:rsid w:val="00994CC9"/>
  </w:style>
  <w:style w:type="paragraph" w:styleId="CommentSubject">
    <w:name w:val="annotation subject"/>
    <w:basedOn w:val="CommentText"/>
    <w:next w:val="CommentText"/>
    <w:link w:val="CommentSubjectChar"/>
    <w:semiHidden/>
    <w:unhideWhenUsed/>
    <w:rsid w:val="00994CC9"/>
    <w:rPr>
      <w:b/>
      <w:bCs/>
    </w:rPr>
  </w:style>
  <w:style w:type="character" w:customStyle="1" w:styleId="CommentSubjectChar">
    <w:name w:val="Comment Subject Char"/>
    <w:basedOn w:val="CommentTextChar"/>
    <w:link w:val="CommentSubject"/>
    <w:semiHidden/>
    <w:rsid w:val="00994CC9"/>
    <w:rPr>
      <w:b/>
      <w:bCs/>
    </w:rPr>
  </w:style>
  <w:style w:type="paragraph" w:styleId="HTMLPreformatted">
    <w:name w:val="HTML Preformatted"/>
    <w:basedOn w:val="Normal"/>
    <w:link w:val="HTMLPreformattedChar"/>
    <w:semiHidden/>
    <w:unhideWhenUsed/>
    <w:rsid w:val="00AC1C47"/>
    <w:rPr>
      <w:rFonts w:ascii="Consolas" w:hAnsi="Consolas"/>
      <w:sz w:val="20"/>
      <w:szCs w:val="20"/>
    </w:rPr>
  </w:style>
  <w:style w:type="character" w:customStyle="1" w:styleId="HTMLPreformattedChar">
    <w:name w:val="HTML Preformatted Char"/>
    <w:basedOn w:val="DefaultParagraphFont"/>
    <w:link w:val="HTMLPreformatted"/>
    <w:semiHidden/>
    <w:rsid w:val="00AC1C47"/>
    <w:rPr>
      <w:rFonts w:ascii="Consolas" w:hAnsi="Consolas"/>
    </w:rPr>
  </w:style>
  <w:style w:type="character" w:styleId="Hyperlink">
    <w:name w:val="Hyperlink"/>
    <w:basedOn w:val="DefaultParagraphFont"/>
    <w:unhideWhenUsed/>
    <w:rsid w:val="00AC1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5114</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BA - HB01202 (Committee Report (Substituted))</vt:lpstr>
    </vt:vector>
  </TitlesOfParts>
  <Company>State of Texas</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20519</dc:subject>
  <dc:creator>State of Texas</dc:creator>
  <dc:description>HB 1202 by Jetton-(H)Business &amp; Industry (Substitute Document Number: 87R 18686)</dc:description>
  <cp:lastModifiedBy>Stacey Nicchio</cp:lastModifiedBy>
  <cp:revision>2</cp:revision>
  <cp:lastPrinted>2003-11-26T17:21:00Z</cp:lastPrinted>
  <dcterms:created xsi:type="dcterms:W3CDTF">2021-04-19T21:02:00Z</dcterms:created>
  <dcterms:modified xsi:type="dcterms:W3CDTF">2021-04-19T21:02:00Z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21.108.59</vt:lpwstr>
  </property>
</Properties>
</file>