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A9" w:rsidRDefault="00AD1FA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82FA88F10324056864C6E393C3D38F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D1FA9" w:rsidRPr="00585C31" w:rsidRDefault="00AD1FA9" w:rsidP="000F1DF9">
      <w:pPr>
        <w:spacing w:after="0" w:line="240" w:lineRule="auto"/>
        <w:rPr>
          <w:rFonts w:cs="Times New Roman"/>
          <w:szCs w:val="24"/>
        </w:rPr>
      </w:pPr>
    </w:p>
    <w:p w:rsidR="00AD1FA9" w:rsidRPr="00585C31" w:rsidRDefault="00AD1FA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D1FA9" w:rsidTr="000F1DF9">
        <w:tc>
          <w:tcPr>
            <w:tcW w:w="2718" w:type="dxa"/>
          </w:tcPr>
          <w:p w:rsidR="00AD1FA9" w:rsidRPr="005C2A78" w:rsidRDefault="00AD1FA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9DBBD7E6A1D4AA2AD879CA7E142849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D1FA9" w:rsidRPr="00FF6471" w:rsidRDefault="00AD1FA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FB4A8CE55054C70A38EA07E47E8D0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1247</w:t>
                </w:r>
              </w:sdtContent>
            </w:sdt>
          </w:p>
        </w:tc>
      </w:tr>
      <w:tr w:rsidR="00AD1FA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2EEBE48F9DA4A47B352BF5CAFA5D5B5"/>
            </w:placeholder>
          </w:sdtPr>
          <w:sdtContent>
            <w:tc>
              <w:tcPr>
                <w:tcW w:w="2718" w:type="dxa"/>
              </w:tcPr>
              <w:p w:rsidR="00AD1FA9" w:rsidRPr="000F1DF9" w:rsidRDefault="00AD1FA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87R6590 KJE-D</w:t>
                </w:r>
              </w:p>
            </w:tc>
          </w:sdtContent>
        </w:sdt>
        <w:tc>
          <w:tcPr>
            <w:tcW w:w="6858" w:type="dxa"/>
          </w:tcPr>
          <w:p w:rsidR="00AD1FA9" w:rsidRPr="005C2A78" w:rsidRDefault="00AD1FA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B7068C3565643AEB020432943E0E5C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010221830D146F7A7F053635DE0E20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Lozano; Ordaz Perez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3F5F7E431B242159E661CCF702C05B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(Powell)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F8AD468ECEB44EBB763D0A6F7F01EB2"/>
                </w:placeholder>
                <w:showingPlcHdr/>
              </w:sdtPr>
              <w:sdtContent/>
            </w:sdt>
          </w:p>
        </w:tc>
      </w:tr>
      <w:tr w:rsidR="00AD1FA9" w:rsidTr="000F1DF9">
        <w:tc>
          <w:tcPr>
            <w:tcW w:w="2718" w:type="dxa"/>
          </w:tcPr>
          <w:p w:rsidR="00AD1FA9" w:rsidRPr="00BC7495" w:rsidRDefault="00AD1FA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23D81E73ACC4E439615F55AE640D301"/>
            </w:placeholder>
          </w:sdtPr>
          <w:sdtContent>
            <w:tc>
              <w:tcPr>
                <w:tcW w:w="6858" w:type="dxa"/>
              </w:tcPr>
              <w:p w:rsidR="00AD1FA9" w:rsidRPr="00FF6471" w:rsidRDefault="00AD1FA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AD1FA9" w:rsidTr="000F1DF9">
        <w:tc>
          <w:tcPr>
            <w:tcW w:w="2718" w:type="dxa"/>
          </w:tcPr>
          <w:p w:rsidR="00AD1FA9" w:rsidRPr="00BC7495" w:rsidRDefault="00AD1FA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A49001408694EFCB07BDEC20445229A"/>
            </w:placeholder>
            <w:date w:fullDate="2021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D1FA9" w:rsidRPr="00FF6471" w:rsidRDefault="00AD1FA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5/18/2021</w:t>
                </w:r>
              </w:p>
            </w:tc>
          </w:sdtContent>
        </w:sdt>
      </w:tr>
      <w:tr w:rsidR="00AD1FA9" w:rsidTr="000F1DF9">
        <w:tc>
          <w:tcPr>
            <w:tcW w:w="2718" w:type="dxa"/>
          </w:tcPr>
          <w:p w:rsidR="00AD1FA9" w:rsidRPr="00BC7495" w:rsidRDefault="00AD1FA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D4B262CF99E42E2854A18BFFBCE7C84"/>
            </w:placeholder>
          </w:sdtPr>
          <w:sdtContent>
            <w:tc>
              <w:tcPr>
                <w:tcW w:w="6858" w:type="dxa"/>
              </w:tcPr>
              <w:p w:rsidR="00AD1FA9" w:rsidRPr="00FF6471" w:rsidRDefault="00AD1FA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D1FA9" w:rsidRPr="00FF6471" w:rsidRDefault="00AD1FA9" w:rsidP="000F1DF9">
      <w:pPr>
        <w:spacing w:after="0" w:line="240" w:lineRule="auto"/>
        <w:rPr>
          <w:rFonts w:cs="Times New Roman"/>
          <w:szCs w:val="24"/>
        </w:rPr>
      </w:pPr>
    </w:p>
    <w:p w:rsidR="00AD1FA9" w:rsidRPr="00FF6471" w:rsidRDefault="00AD1FA9" w:rsidP="000F1DF9">
      <w:pPr>
        <w:spacing w:after="0" w:line="240" w:lineRule="auto"/>
        <w:rPr>
          <w:rFonts w:cs="Times New Roman"/>
          <w:szCs w:val="24"/>
        </w:rPr>
      </w:pPr>
    </w:p>
    <w:p w:rsidR="00AD1FA9" w:rsidRPr="00FF6471" w:rsidRDefault="00AD1FA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CD78FECA6964553A67B9990FA3E2D98"/>
        </w:placeholder>
      </w:sdtPr>
      <w:sdtContent>
        <w:p w:rsidR="00AD1FA9" w:rsidRDefault="00AD1FA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ED4C914282B4D81BF2D10B02AA221DD"/>
        </w:placeholder>
      </w:sdtPr>
      <w:sdtContent>
        <w:p w:rsidR="00AD1FA9" w:rsidRDefault="00AD1FA9" w:rsidP="00BD270B">
          <w:pPr>
            <w:pStyle w:val="NormalWeb"/>
            <w:spacing w:before="0" w:beforeAutospacing="0" w:after="0" w:afterAutospacing="0"/>
            <w:jc w:val="both"/>
            <w:divId w:val="1295912133"/>
            <w:rPr>
              <w:rFonts w:eastAsia="Times New Roman"/>
              <w:bCs/>
            </w:rPr>
          </w:pPr>
        </w:p>
        <w:p w:rsidR="00AD1FA9" w:rsidRPr="00BD270B" w:rsidRDefault="00AD1FA9" w:rsidP="00BD270B">
          <w:pPr>
            <w:pStyle w:val="NormalWeb"/>
            <w:spacing w:before="0" w:beforeAutospacing="0" w:after="0" w:afterAutospacing="0"/>
            <w:jc w:val="both"/>
            <w:divId w:val="1295912133"/>
            <w:rPr>
              <w:color w:val="000000"/>
            </w:rPr>
          </w:pPr>
          <w:r w:rsidRPr="00BD270B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BD270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D270B">
            <w:rPr>
              <w:color w:val="000000"/>
            </w:rPr>
            <w:t xml:space="preserve"> 1247 directs the Texas Education Agency, the Texas Workforce Commission, and the Texas Higher Education Coordinating Board to jointly develop a strategic framework to encourage work-based learning in Texas. This bill develops a common language across agencies related to work-based learning, creates a strategic framework that guides cross-sector partnerships, and collectively identifies competencies and credentials crucial to the economic success of Texas.</w:t>
          </w:r>
        </w:p>
        <w:p w:rsidR="00AD1FA9" w:rsidRPr="00D70925" w:rsidRDefault="00AD1FA9" w:rsidP="00BD270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D1FA9" w:rsidRDefault="00AD1FA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1247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development of and report on a tri-agency work-based learning strategic framework by the Texas Workforce Commission, the Texas Education Agency, and the Texas Higher Education Coordinating Board.</w:t>
      </w:r>
    </w:p>
    <w:p w:rsidR="00AD1FA9" w:rsidRPr="006879B8" w:rsidRDefault="00AD1FA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D1FA9" w:rsidRPr="005C2A78" w:rsidRDefault="00AD1FA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268A7F05636467DAEE50F40D4CDD36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D1FA9" w:rsidRPr="006529C4" w:rsidRDefault="00AD1FA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D1FA9" w:rsidRPr="006529C4" w:rsidRDefault="00AD1FA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D1FA9" w:rsidRPr="006529C4" w:rsidRDefault="00AD1FA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D1FA9" w:rsidRPr="005C2A78" w:rsidRDefault="00AD1FA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F50577FBDC74B75B5C00D594912127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D1FA9" w:rsidRPr="006879B8" w:rsidRDefault="00AD1FA9" w:rsidP="00AD1F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SECTION 1. Amends Subtitle B, Title 4, Labor Code, by adding Chapter 318, as follows:</w:t>
      </w:r>
    </w:p>
    <w:p w:rsidR="00AD1FA9" w:rsidRPr="006879B8" w:rsidRDefault="00AD1FA9" w:rsidP="00AD1F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CHAPTER 318. TRI-AGENCY WORK-BASED LEARNING STRATEGIC FRAMEWORK</w:t>
      </w:r>
    </w:p>
    <w:p w:rsidR="00AD1FA9" w:rsidRPr="006879B8" w:rsidRDefault="00AD1FA9" w:rsidP="00AD1F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318.001. </w:t>
      </w:r>
      <w:r w:rsidRPr="006879B8">
        <w:rPr>
          <w:rFonts w:eastAsia="Times New Roman" w:cs="Times New Roman"/>
          <w:szCs w:val="24"/>
        </w:rPr>
        <w:t>TRI-AGENCY WORK-BASED LEARNING STRATEGIC FRAMEWORK. (a) Requires the Texas Workforce Commission (TWC), the Texas Education Agency (TEA), and the Texas Higher Education Coordinating Board (THECB) to jointly develop a strategic framework to encourage work-based learning in this state. Requires each agency to appoint an existing agency employee to lead the development of the framework.</w:t>
      </w:r>
    </w:p>
    <w:p w:rsidR="00AD1FA9" w:rsidRPr="006879B8" w:rsidRDefault="00AD1FA9" w:rsidP="00AD1FA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 xml:space="preserve">(b)  Requires TWC, TEA, and THECB, not later than December 31, 2022, to jointly prepare and submit to the legislature a report on the framework developed under Subsection (a). Requires that the report: </w:t>
      </w:r>
    </w:p>
    <w:p w:rsidR="00AD1FA9" w:rsidRPr="006879B8" w:rsidRDefault="00AD1FA9" w:rsidP="00AD1F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(1) define "work-based learning opportunity" in a comprehensive manner that includes certain work-based learning opportunities;</w:t>
      </w: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(2) determine common language, definitions, and quality standards to be used by each agency for work-based learning opportunities that span secondary and postsecondary education;</w:t>
      </w: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(3) establish methods of identifying certain skills and competencies that are aligned with industry demand and talent needs, with a particular focus on high-demand, high-growth industries that offer livable wages;</w:t>
      </w: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(4) align priorities, programs, and goals across the agencies to ensure the development of cohesive work-based learning strategies that strengthen workforce pipelines;</w:t>
      </w: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(5) identify strategies for TWC, TEA, and THECB to partner with certain entities to implement high-quality project-based learning in middle and junior high school classrooms and work-based learning experiences in high school and postsecondary education;</w:t>
      </w: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(6) provide methods of supporting partnerships between public institutions of higher education to create additional pathways for postsecondary work-based learning credentials of value to high-demand, high-growth industries and that lead to quality career opportunities;</w:t>
      </w: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(7) articulate the roles and responsibilities of public primary and secondary schools, public institutions of higher education, and workforce boards and organizations in implementing high-quality work-based learning programs and partnerships;</w:t>
      </w: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(8) provide a strategy for identifying industry-led high-quality training models that promote and replicate high-need jobs that lead to equitable outcomes for individuals and can be scaled across industries and regions;</w:t>
      </w: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(9) identify certain opportunities to improve and incentivize regional coordination across Texas to better reflect regional workforce needs and</w:t>
      </w:r>
      <w:r>
        <w:rPr>
          <w:rFonts w:eastAsia="Times New Roman" w:cs="Times New Roman"/>
          <w:szCs w:val="24"/>
        </w:rPr>
        <w:t xml:space="preserve"> eliminate duplicative programs,</w:t>
      </w:r>
      <w:r w:rsidRPr="004C07D5">
        <w:t xml:space="preserve"> </w:t>
      </w:r>
      <w:r w:rsidRPr="004C07D5">
        <w:rPr>
          <w:rFonts w:eastAsia="Times New Roman" w:cs="Times New Roman"/>
          <w:szCs w:val="24"/>
        </w:rPr>
        <w:t>including by providing state support to build capacity in regional intermediary organizations to facilitate education-workforce partnerships and programs;</w:t>
      </w: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 xml:space="preserve">(10) identify streamlined data collection models for </w:t>
      </w:r>
      <w:r>
        <w:rPr>
          <w:rFonts w:eastAsia="Times New Roman" w:cs="Times New Roman"/>
          <w:szCs w:val="24"/>
        </w:rPr>
        <w:t>primary, secondary, and postsecondary</w:t>
      </w:r>
      <w:r w:rsidRPr="006879B8">
        <w:rPr>
          <w:rFonts w:eastAsia="Times New Roman" w:cs="Times New Roman"/>
          <w:szCs w:val="24"/>
        </w:rPr>
        <w:t xml:space="preserve"> education and workforce accountability that can be disaggregated as necessary to evaluate and increase equity in access to high-quality programs, with a focus on underrepresented populations; and</w:t>
      </w: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(11) include recommendations to improve the coordination of funds and awarding of grants among the agencies to eliminate barriers to entry for regional partners.</w:t>
      </w:r>
    </w:p>
    <w:p w:rsidR="00AD1FA9" w:rsidRPr="006879B8" w:rsidRDefault="00AD1FA9" w:rsidP="00AD1F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Sec. 318.002. EXPIRATION. Provides that this chapter expires September 1, 2023.</w:t>
      </w:r>
    </w:p>
    <w:p w:rsidR="00AD1FA9" w:rsidRPr="006879B8" w:rsidRDefault="00AD1FA9" w:rsidP="00AD1FA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D1FA9" w:rsidRPr="006879B8" w:rsidRDefault="00AD1FA9" w:rsidP="00AD1FA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SECTION 2. Effective date: September 1, 2021.</w:t>
      </w:r>
    </w:p>
    <w:sectPr w:rsidR="00AD1FA9" w:rsidRPr="006879B8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18" w:rsidRDefault="00456A18" w:rsidP="000F1DF9">
      <w:pPr>
        <w:spacing w:after="0" w:line="240" w:lineRule="auto"/>
      </w:pPr>
      <w:r>
        <w:separator/>
      </w:r>
    </w:p>
  </w:endnote>
  <w:endnote w:type="continuationSeparator" w:id="0">
    <w:p w:rsidR="00456A18" w:rsidRDefault="00456A1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56A1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D1FA9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AD1FA9">
                <w:rPr>
                  <w:sz w:val="20"/>
                  <w:szCs w:val="20"/>
                </w:rPr>
                <w:t>H.B. 1247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AD1FA9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56A1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D1FA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D1FA9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18" w:rsidRDefault="00456A18" w:rsidP="000F1DF9">
      <w:pPr>
        <w:spacing w:after="0" w:line="240" w:lineRule="auto"/>
      </w:pPr>
      <w:r>
        <w:separator/>
      </w:r>
    </w:p>
  </w:footnote>
  <w:footnote w:type="continuationSeparator" w:id="0">
    <w:p w:rsidR="00456A18" w:rsidRDefault="00456A1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56A18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D1FA9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F6C03-6DDF-4433-BE86-B797429F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1FA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82FA88F10324056864C6E393C3D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6C54-1CB1-4482-B116-E7E28B6455F9}"/>
      </w:docPartPr>
      <w:docPartBody>
        <w:p w:rsidR="00000000" w:rsidRDefault="00DE2703"/>
      </w:docPartBody>
    </w:docPart>
    <w:docPart>
      <w:docPartPr>
        <w:name w:val="59DBBD7E6A1D4AA2AD879CA7E142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6D32-C0FA-4842-8CC9-D8B922FB1DDE}"/>
      </w:docPartPr>
      <w:docPartBody>
        <w:p w:rsidR="00000000" w:rsidRDefault="00DE2703"/>
      </w:docPartBody>
    </w:docPart>
    <w:docPart>
      <w:docPartPr>
        <w:name w:val="FFB4A8CE55054C70A38EA07E47E8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5077-9CA2-4B11-8FE4-ED59C2B135C5}"/>
      </w:docPartPr>
      <w:docPartBody>
        <w:p w:rsidR="00000000" w:rsidRDefault="00DE2703"/>
      </w:docPartBody>
    </w:docPart>
    <w:docPart>
      <w:docPartPr>
        <w:name w:val="F2EEBE48F9DA4A47B352BF5CAFA5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7F6A-139B-4845-89EC-A022A3F6F3FD}"/>
      </w:docPartPr>
      <w:docPartBody>
        <w:p w:rsidR="00000000" w:rsidRDefault="00DE2703"/>
      </w:docPartBody>
    </w:docPart>
    <w:docPart>
      <w:docPartPr>
        <w:name w:val="6B7068C3565643AEB020432943E0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783D-A529-404A-9600-03A286F60269}"/>
      </w:docPartPr>
      <w:docPartBody>
        <w:p w:rsidR="00000000" w:rsidRDefault="00DE2703"/>
      </w:docPartBody>
    </w:docPart>
    <w:docPart>
      <w:docPartPr>
        <w:name w:val="7010221830D146F7A7F053635DE0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3B2D-0506-40D1-A481-D5EA2D27E132}"/>
      </w:docPartPr>
      <w:docPartBody>
        <w:p w:rsidR="00000000" w:rsidRDefault="00DE2703"/>
      </w:docPartBody>
    </w:docPart>
    <w:docPart>
      <w:docPartPr>
        <w:name w:val="93F5F7E431B242159E661CCF702C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DEB04-E821-471A-8125-576C086C1E7E}"/>
      </w:docPartPr>
      <w:docPartBody>
        <w:p w:rsidR="00000000" w:rsidRDefault="00DE2703"/>
      </w:docPartBody>
    </w:docPart>
    <w:docPart>
      <w:docPartPr>
        <w:name w:val="DF8AD468ECEB44EBB763D0A6F7F0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1EC9-1C66-4558-8462-6EACAE80358E}"/>
      </w:docPartPr>
      <w:docPartBody>
        <w:p w:rsidR="00000000" w:rsidRDefault="00DE2703"/>
      </w:docPartBody>
    </w:docPart>
    <w:docPart>
      <w:docPartPr>
        <w:name w:val="923D81E73ACC4E439615F55AE640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B613-C419-4614-8C4F-A5AB02FD7BE6}"/>
      </w:docPartPr>
      <w:docPartBody>
        <w:p w:rsidR="00000000" w:rsidRDefault="00DE2703"/>
      </w:docPartBody>
    </w:docPart>
    <w:docPart>
      <w:docPartPr>
        <w:name w:val="3A49001408694EFCB07BDEC20445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7993-BEA1-4362-8147-1559DD1DB294}"/>
      </w:docPartPr>
      <w:docPartBody>
        <w:p w:rsidR="00000000" w:rsidRDefault="00922945" w:rsidP="00922945">
          <w:pPr>
            <w:pStyle w:val="3A49001408694EFCB07BDEC20445229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D4B262CF99E42E2854A18BFFBCE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332F-B1EA-4D3B-9A30-952C09F60C18}"/>
      </w:docPartPr>
      <w:docPartBody>
        <w:p w:rsidR="00000000" w:rsidRDefault="00DE2703"/>
      </w:docPartBody>
    </w:docPart>
    <w:docPart>
      <w:docPartPr>
        <w:name w:val="7CD78FECA6964553A67B9990FA3E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62480-73E5-4AAC-8C18-EF5C5BEB2DB9}"/>
      </w:docPartPr>
      <w:docPartBody>
        <w:p w:rsidR="00000000" w:rsidRDefault="00DE2703"/>
      </w:docPartBody>
    </w:docPart>
    <w:docPart>
      <w:docPartPr>
        <w:name w:val="6ED4C914282B4D81BF2D10B02AA2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F391-A415-44C0-882F-61110B3CCC67}"/>
      </w:docPartPr>
      <w:docPartBody>
        <w:p w:rsidR="00000000" w:rsidRDefault="00922945" w:rsidP="00922945">
          <w:pPr>
            <w:pStyle w:val="6ED4C914282B4D81BF2D10B02AA221D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268A7F05636467DAEE50F40D4CD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9514-31E3-451B-8B72-81181BE63245}"/>
      </w:docPartPr>
      <w:docPartBody>
        <w:p w:rsidR="00000000" w:rsidRDefault="00DE2703"/>
      </w:docPartBody>
    </w:docPart>
    <w:docPart>
      <w:docPartPr>
        <w:name w:val="9F50577FBDC74B75B5C00D594912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0726-5F6D-45FB-95E4-B76A4CD8904E}"/>
      </w:docPartPr>
      <w:docPartBody>
        <w:p w:rsidR="00000000" w:rsidRDefault="00DE27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22945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E2703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94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A49001408694EFCB07BDEC20445229A">
    <w:name w:val="3A49001408694EFCB07BDEC20445229A"/>
    <w:rsid w:val="00922945"/>
    <w:pPr>
      <w:spacing w:after="160" w:line="259" w:lineRule="auto"/>
    </w:pPr>
  </w:style>
  <w:style w:type="paragraph" w:customStyle="1" w:styleId="6ED4C914282B4D81BF2D10B02AA221DD">
    <w:name w:val="6ED4C914282B4D81BF2D10B02AA221DD"/>
    <w:rsid w:val="009229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5A15FB4-2BAA-4375-B227-37A79308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666</Words>
  <Characters>3800</Characters>
  <Application>Microsoft Office Word</Application>
  <DocSecurity>0</DocSecurity>
  <Lines>31</Lines>
  <Paragraphs>8</Paragraphs>
  <ScaleCrop>false</ScaleCrop>
  <Company>Texas Legislative Council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cp:lastPrinted>2021-05-19T01:53:00Z</cp:lastPrinted>
  <dcterms:created xsi:type="dcterms:W3CDTF">2015-05-29T14:24:00Z</dcterms:created>
  <dcterms:modified xsi:type="dcterms:W3CDTF">2021-05-19T01:53:00Z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