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6A57" w14:paraId="13AF6711" w14:textId="77777777" w:rsidTr="00345119">
        <w:tc>
          <w:tcPr>
            <w:tcW w:w="9576" w:type="dxa"/>
            <w:noWrap/>
          </w:tcPr>
          <w:p w14:paraId="2C10984C" w14:textId="77777777" w:rsidR="008423E4" w:rsidRPr="0022177D" w:rsidRDefault="00CC7E28" w:rsidP="004F1A9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11A748" w14:textId="77777777" w:rsidR="008423E4" w:rsidRPr="0022177D" w:rsidRDefault="008423E4" w:rsidP="004F1A91">
      <w:pPr>
        <w:jc w:val="center"/>
      </w:pPr>
    </w:p>
    <w:p w14:paraId="7F4B4028" w14:textId="77777777" w:rsidR="008423E4" w:rsidRPr="00B31F0E" w:rsidRDefault="008423E4" w:rsidP="004F1A91"/>
    <w:p w14:paraId="04E937EB" w14:textId="77777777" w:rsidR="008423E4" w:rsidRPr="00742794" w:rsidRDefault="008423E4" w:rsidP="004F1A9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6A57" w14:paraId="2B83F66F" w14:textId="77777777" w:rsidTr="00345119">
        <w:tc>
          <w:tcPr>
            <w:tcW w:w="9576" w:type="dxa"/>
          </w:tcPr>
          <w:p w14:paraId="0212EFBE" w14:textId="0CC2C4DC" w:rsidR="008423E4" w:rsidRPr="00861995" w:rsidRDefault="00CC7E28" w:rsidP="004F1A91">
            <w:pPr>
              <w:jc w:val="right"/>
            </w:pPr>
            <w:r>
              <w:t>C.S.H.B. 1272</w:t>
            </w:r>
          </w:p>
        </w:tc>
      </w:tr>
      <w:tr w:rsidR="00F06A57" w14:paraId="7551B29B" w14:textId="77777777" w:rsidTr="00345119">
        <w:tc>
          <w:tcPr>
            <w:tcW w:w="9576" w:type="dxa"/>
          </w:tcPr>
          <w:p w14:paraId="0091D2D4" w14:textId="3E21EDAF" w:rsidR="008423E4" w:rsidRPr="00861995" w:rsidRDefault="00CC7E28" w:rsidP="004F1A91">
            <w:pPr>
              <w:jc w:val="right"/>
            </w:pPr>
            <w:r>
              <w:t xml:space="preserve">By: </w:t>
            </w:r>
            <w:r w:rsidR="00150C5E">
              <w:t>Crockett</w:t>
            </w:r>
          </w:p>
        </w:tc>
      </w:tr>
      <w:tr w:rsidR="00F06A57" w14:paraId="0F4FA286" w14:textId="77777777" w:rsidTr="00345119">
        <w:tc>
          <w:tcPr>
            <w:tcW w:w="9576" w:type="dxa"/>
          </w:tcPr>
          <w:p w14:paraId="5A3DC8DD" w14:textId="45BDCB4C" w:rsidR="008423E4" w:rsidRPr="00861995" w:rsidRDefault="00CC7E28" w:rsidP="004F1A91">
            <w:pPr>
              <w:jc w:val="right"/>
            </w:pPr>
            <w:r>
              <w:t>Criminal Jurisprudence</w:t>
            </w:r>
          </w:p>
        </w:tc>
      </w:tr>
      <w:tr w:rsidR="00F06A57" w14:paraId="053E2281" w14:textId="77777777" w:rsidTr="00345119">
        <w:tc>
          <w:tcPr>
            <w:tcW w:w="9576" w:type="dxa"/>
          </w:tcPr>
          <w:p w14:paraId="7D1AB928" w14:textId="48DD707B" w:rsidR="008423E4" w:rsidRDefault="00CC7E28" w:rsidP="004F1A91">
            <w:pPr>
              <w:jc w:val="right"/>
            </w:pPr>
            <w:r>
              <w:t>Committee Report (Substituted)</w:t>
            </w:r>
          </w:p>
        </w:tc>
      </w:tr>
    </w:tbl>
    <w:p w14:paraId="3BBE62CA" w14:textId="77777777" w:rsidR="008423E4" w:rsidRDefault="008423E4" w:rsidP="004F1A91">
      <w:pPr>
        <w:tabs>
          <w:tab w:val="right" w:pos="9360"/>
        </w:tabs>
      </w:pPr>
    </w:p>
    <w:p w14:paraId="11E0B481" w14:textId="77777777" w:rsidR="008423E4" w:rsidRDefault="008423E4" w:rsidP="004F1A91"/>
    <w:p w14:paraId="74797986" w14:textId="77777777" w:rsidR="008423E4" w:rsidRDefault="008423E4" w:rsidP="004F1A9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6A57" w14:paraId="52A42F60" w14:textId="77777777" w:rsidTr="00345119">
        <w:tc>
          <w:tcPr>
            <w:tcW w:w="9576" w:type="dxa"/>
          </w:tcPr>
          <w:p w14:paraId="73380083" w14:textId="77777777" w:rsidR="008423E4" w:rsidRPr="00A8133F" w:rsidRDefault="00CC7E28" w:rsidP="004F1A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678A517" w14:textId="77777777" w:rsidR="008423E4" w:rsidRDefault="008423E4" w:rsidP="004F1A91"/>
          <w:p w14:paraId="1D6234CE" w14:textId="65602FA0" w:rsidR="008423E4" w:rsidRDefault="00CC7E28" w:rsidP="004F1A91">
            <w:pPr>
              <w:pStyle w:val="Header"/>
              <w:jc w:val="both"/>
            </w:pPr>
            <w:r>
              <w:t xml:space="preserve">For years, no-knock entries by peace officers for the purpose of executing a warrant </w:t>
            </w:r>
            <w:r w:rsidR="000D0CA5">
              <w:t>have endangered the lives of</w:t>
            </w:r>
            <w:r>
              <w:t xml:space="preserve"> law enforcement</w:t>
            </w:r>
            <w:r w:rsidR="000D0CA5">
              <w:t xml:space="preserve"> and citizens</w:t>
            </w:r>
            <w:r>
              <w:t xml:space="preserve"> across Texas</w:t>
            </w:r>
            <w:r w:rsidR="007D519E">
              <w:t>.</w:t>
            </w:r>
            <w:r w:rsidR="00E71725">
              <w:t xml:space="preserve"> </w:t>
            </w:r>
            <w:r>
              <w:t xml:space="preserve">Both officers and </w:t>
            </w:r>
            <w:r w:rsidR="000D0CA5">
              <w:t>building occupants</w:t>
            </w:r>
            <w:r w:rsidR="00E71725">
              <w:t xml:space="preserve"> have </w:t>
            </w:r>
            <w:r w:rsidR="000D0CA5">
              <w:t xml:space="preserve">been injured or </w:t>
            </w:r>
            <w:r w:rsidR="00E71725">
              <w:t>lost their lives due to poorly executed no-knock entries</w:t>
            </w:r>
            <w:r>
              <w:t>, which are usually conducted to capitalize on the element of surprise and carried out late at nig</w:t>
            </w:r>
            <w:r>
              <w:t>ht or early in the morning</w:t>
            </w:r>
            <w:r w:rsidR="000D0CA5">
              <w:t>. These conditions further contribute</w:t>
            </w:r>
            <w:r>
              <w:t xml:space="preserve"> to the chaos</w:t>
            </w:r>
            <w:r w:rsidR="000D0CA5">
              <w:t xml:space="preserve"> of the situation and exacerbate</w:t>
            </w:r>
            <w:r>
              <w:t xml:space="preserve"> the vulnerability of both </w:t>
            </w:r>
            <w:r w:rsidR="000D0CA5">
              <w:t>officers and occupants</w:t>
            </w:r>
            <w:r w:rsidR="00E71725">
              <w:t>.</w:t>
            </w:r>
            <w:r w:rsidR="007D519E">
              <w:t xml:space="preserve"> </w:t>
            </w:r>
            <w:r>
              <w:t>T</w:t>
            </w:r>
            <w:r w:rsidR="003A5914">
              <w:t>here have been calls to</w:t>
            </w:r>
            <w:r w:rsidR="007C34F5">
              <w:t xml:space="preserve"> only</w:t>
            </w:r>
            <w:r w:rsidR="003A5914">
              <w:t xml:space="preserve"> </w:t>
            </w:r>
            <w:r w:rsidR="007C34F5">
              <w:t xml:space="preserve">allow </w:t>
            </w:r>
            <w:r w:rsidR="00E71725">
              <w:t>these</w:t>
            </w:r>
            <w:r w:rsidR="007C34F5">
              <w:t xml:space="preserve"> </w:t>
            </w:r>
            <w:r w:rsidR="00792450">
              <w:t xml:space="preserve">dangerous, inefficient </w:t>
            </w:r>
            <w:r w:rsidR="007C34F5">
              <w:t>entries under very limited circumstances</w:t>
            </w:r>
            <w:r w:rsidR="000D0CA5">
              <w:t xml:space="preserve"> so as to protect law enforcement, communities, and the constitutional rights of Texans</w:t>
            </w:r>
            <w:r w:rsidR="003A5914">
              <w:t xml:space="preserve">. </w:t>
            </w:r>
            <w:r w:rsidR="007C34F5">
              <w:t>C.S.</w:t>
            </w:r>
            <w:r w:rsidR="007D519E">
              <w:t>H</w:t>
            </w:r>
            <w:r w:rsidR="003A5914">
              <w:t>.</w:t>
            </w:r>
            <w:r w:rsidR="007D519E">
              <w:t>B</w:t>
            </w:r>
            <w:r w:rsidR="003A5914">
              <w:t>.</w:t>
            </w:r>
            <w:r w:rsidR="007D519E">
              <w:t xml:space="preserve"> 1272</w:t>
            </w:r>
            <w:r w:rsidR="003A5914">
              <w:t xml:space="preserve"> </w:t>
            </w:r>
            <w:r w:rsidR="00792450">
              <w:t xml:space="preserve">allows for the issuance of warrants authorizing no-knock entries </w:t>
            </w:r>
            <w:r w:rsidR="007C34F5">
              <w:t xml:space="preserve">under </w:t>
            </w:r>
            <w:r w:rsidR="00792450">
              <w:t>limited circumstances</w:t>
            </w:r>
            <w:r w:rsidR="007C34F5">
              <w:t>.</w:t>
            </w:r>
          </w:p>
          <w:p w14:paraId="5B908752" w14:textId="77777777" w:rsidR="008423E4" w:rsidRPr="00E26B13" w:rsidRDefault="008423E4" w:rsidP="004F1A91">
            <w:pPr>
              <w:rPr>
                <w:b/>
              </w:rPr>
            </w:pPr>
          </w:p>
        </w:tc>
      </w:tr>
      <w:tr w:rsidR="00F06A57" w14:paraId="464C6303" w14:textId="77777777" w:rsidTr="00345119">
        <w:tc>
          <w:tcPr>
            <w:tcW w:w="9576" w:type="dxa"/>
          </w:tcPr>
          <w:p w14:paraId="7FBA66DD" w14:textId="77777777" w:rsidR="0017725B" w:rsidRDefault="00CC7E28" w:rsidP="004F1A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092931" w14:textId="77777777" w:rsidR="0017725B" w:rsidRDefault="0017725B" w:rsidP="004F1A91">
            <w:pPr>
              <w:rPr>
                <w:b/>
                <w:u w:val="single"/>
              </w:rPr>
            </w:pPr>
          </w:p>
          <w:p w14:paraId="537E0ED9" w14:textId="77777777" w:rsidR="00050F70" w:rsidRPr="00050F70" w:rsidRDefault="00CC7E28" w:rsidP="004F1A91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60C70B4" w14:textId="77777777" w:rsidR="0017725B" w:rsidRPr="0017725B" w:rsidRDefault="0017725B" w:rsidP="004F1A91">
            <w:pPr>
              <w:rPr>
                <w:b/>
                <w:u w:val="single"/>
              </w:rPr>
            </w:pPr>
          </w:p>
        </w:tc>
      </w:tr>
      <w:tr w:rsidR="00F06A57" w14:paraId="222CCEC0" w14:textId="77777777" w:rsidTr="00345119">
        <w:tc>
          <w:tcPr>
            <w:tcW w:w="9576" w:type="dxa"/>
          </w:tcPr>
          <w:p w14:paraId="7B7F37B6" w14:textId="77777777" w:rsidR="008423E4" w:rsidRPr="00A8133F" w:rsidRDefault="00CC7E28" w:rsidP="004F1A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5A894836" w14:textId="77777777" w:rsidR="008423E4" w:rsidRDefault="008423E4" w:rsidP="004F1A91"/>
          <w:p w14:paraId="5FA42CA3" w14:textId="77777777" w:rsidR="00050F70" w:rsidRDefault="00CC7E28" w:rsidP="004F1A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514E12" w14:textId="77777777" w:rsidR="008423E4" w:rsidRPr="00E21FDC" w:rsidRDefault="008423E4" w:rsidP="004F1A91">
            <w:pPr>
              <w:rPr>
                <w:b/>
              </w:rPr>
            </w:pPr>
          </w:p>
        </w:tc>
      </w:tr>
      <w:tr w:rsidR="00F06A57" w14:paraId="5D6E4B51" w14:textId="77777777" w:rsidTr="00345119">
        <w:tc>
          <w:tcPr>
            <w:tcW w:w="9576" w:type="dxa"/>
          </w:tcPr>
          <w:p w14:paraId="2C0456CC" w14:textId="77777777" w:rsidR="008423E4" w:rsidRPr="00A8133F" w:rsidRDefault="00CC7E28" w:rsidP="004F1A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8288AE" w14:textId="77777777" w:rsidR="008423E4" w:rsidRDefault="008423E4" w:rsidP="004F1A91"/>
          <w:p w14:paraId="529C0973" w14:textId="4040F77D" w:rsidR="00F3448C" w:rsidRDefault="00CC7E28" w:rsidP="004F1A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50F70">
              <w:t xml:space="preserve">H.B. </w:t>
            </w:r>
            <w:r w:rsidR="00203D14">
              <w:t xml:space="preserve">1272 </w:t>
            </w:r>
            <w:r w:rsidR="00050F70">
              <w:t xml:space="preserve">amends the Code of Criminal Procedure to </w:t>
            </w:r>
            <w:r>
              <w:t xml:space="preserve">authorize </w:t>
            </w:r>
            <w:r w:rsidR="00050F70">
              <w:t xml:space="preserve">a magistrate </w:t>
            </w:r>
            <w:r w:rsidR="00CA3613">
              <w:t xml:space="preserve">to issue </w:t>
            </w:r>
            <w:r w:rsidR="00050F70">
              <w:t>an arrest</w:t>
            </w:r>
            <w:r w:rsidR="0028482C">
              <w:t xml:space="preserve"> warrant</w:t>
            </w:r>
            <w:r w:rsidR="00050F70">
              <w:t xml:space="preserve"> that authorizes a no-knock entry</w:t>
            </w:r>
            <w:r>
              <w:t xml:space="preserve"> only if the following conditions are met:</w:t>
            </w:r>
          </w:p>
          <w:p w14:paraId="3A7DC04C" w14:textId="549E9627" w:rsidR="00F3448C" w:rsidRDefault="00CC7E28" w:rsidP="004F1A9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magistrate is not a justice of the peace, a municipal court judge, or a constitutional county court judge;</w:t>
            </w:r>
          </w:p>
          <w:p w14:paraId="2658C225" w14:textId="41C237D6" w:rsidR="00F3448C" w:rsidRDefault="00CC7E28" w:rsidP="004F1A9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magistrate deter</w:t>
            </w:r>
            <w:r>
              <w:t>mines by clear and convincing evidence that the person who is the subject of the warrant has committed a violent offense and</w:t>
            </w:r>
            <w:r w:rsidR="00060E71">
              <w:t xml:space="preserve"> </w:t>
            </w:r>
            <w:r w:rsidR="00EB46DF">
              <w:t xml:space="preserve">that </w:t>
            </w:r>
            <w:r>
              <w:t xml:space="preserve">any </w:t>
            </w:r>
            <w:r w:rsidRPr="00F3448C">
              <w:t>entry other than a no-knock entry would endanger a person's life or result in the destruction of evidence; and</w:t>
            </w:r>
          </w:p>
          <w:p w14:paraId="56C094C0" w14:textId="77777777" w:rsidR="00F3448C" w:rsidRDefault="00CC7E28" w:rsidP="004F1A9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3448C">
              <w:t>the warrant</w:t>
            </w:r>
            <w:r w:rsidRPr="00F3448C">
              <w:t xml:space="preserve"> requires</w:t>
            </w:r>
            <w:r>
              <w:t xml:space="preserve"> the following:</w:t>
            </w:r>
          </w:p>
          <w:p w14:paraId="017D3146" w14:textId="5E5101D5" w:rsidR="00F3448C" w:rsidRDefault="00CC7E28" w:rsidP="004F1A91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no-knock entry to be performed only between the hours of 6 a.m. and 10 p.m.; and </w:t>
            </w:r>
          </w:p>
          <w:p w14:paraId="0F213FFD" w14:textId="3A384CA7" w:rsidR="00F3448C" w:rsidRDefault="00CC7E28" w:rsidP="004F1A91">
            <w:pPr>
              <w:pStyle w:val="Header"/>
              <w:numPr>
                <w:ilvl w:val="1"/>
                <w:numId w:val="1"/>
              </w:numPr>
              <w:jc w:val="both"/>
            </w:pPr>
            <w:r w:rsidRPr="00F3448C">
              <w:t>each peace officer executing the warrant to be in uniform and clearly identifiable as a peace officer</w:t>
            </w:r>
            <w:r>
              <w:t xml:space="preserve"> and to be equipped with a body worn camera </w:t>
            </w:r>
            <w:r>
              <w:t>that is activated before executing the warrant and not deactivated until at least 15 minutes after  the execution of the warrant is completed.</w:t>
            </w:r>
          </w:p>
          <w:p w14:paraId="09E7A8D1" w14:textId="77777777" w:rsidR="00CA3613" w:rsidRDefault="00CC7E28" w:rsidP="004F1A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050F70">
              <w:t xml:space="preserve"> define</w:t>
            </w:r>
            <w:r>
              <w:t>s "no-knock entry"</w:t>
            </w:r>
            <w:r w:rsidR="00050F70">
              <w:t xml:space="preserve"> as </w:t>
            </w:r>
            <w:r w:rsidR="00050F70" w:rsidRPr="00050F70">
              <w:t>a peace officer's entry, for the purpose of executing a warrant, into a building or other place without giving notice of the officer's authority or purpose before entering.</w:t>
            </w:r>
          </w:p>
          <w:p w14:paraId="7428E637" w14:textId="77777777" w:rsidR="00CA3613" w:rsidRDefault="00CA3613" w:rsidP="004F1A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B0158B" w14:textId="1CE18401" w:rsidR="00CA3613" w:rsidRDefault="00CC7E28" w:rsidP="004F1A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203D14">
              <w:t>1272</w:t>
            </w:r>
            <w:r>
              <w:t xml:space="preserve"> authorizes a magistrate to issue a search warrant that authorizes</w:t>
            </w:r>
            <w:r w:rsidR="00050F70">
              <w:t xml:space="preserve"> </w:t>
            </w:r>
            <w:r>
              <w:t>a no-knock entry only if the following conditions are met:</w:t>
            </w:r>
          </w:p>
          <w:p w14:paraId="23D04EE7" w14:textId="084D890F" w:rsidR="00CA3613" w:rsidRDefault="00CC7E28" w:rsidP="004F1A9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magistrate is </w:t>
            </w:r>
            <w:r>
              <w:t>not a justice of the peace, a municipal court judge, or a constitutional county court judge;</w:t>
            </w:r>
          </w:p>
          <w:p w14:paraId="107DF681" w14:textId="7CF12121" w:rsidR="00CA3613" w:rsidRDefault="00CC7E28" w:rsidP="004F1A9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affidavit alleges </w:t>
            </w:r>
            <w:r w:rsidRPr="00CA3613">
              <w:t>the commission of a violent offense and the magistrate determines by cl</w:t>
            </w:r>
            <w:r>
              <w:t xml:space="preserve">ear and convincing evidence </w:t>
            </w:r>
            <w:r w:rsidR="00060E71">
              <w:t xml:space="preserve">that </w:t>
            </w:r>
            <w:r w:rsidRPr="00CA3613">
              <w:t>the violent offense is ongoing or has</w:t>
            </w:r>
            <w:r w:rsidRPr="00CA3613">
              <w:t xml:space="preserve"> taken place at the building or other place stated in the warrant and</w:t>
            </w:r>
            <w:r w:rsidR="00060E71">
              <w:t xml:space="preserve"> that </w:t>
            </w:r>
            <w:r w:rsidRPr="00CA3613">
              <w:t>any entry other than a no</w:t>
            </w:r>
            <w:r w:rsidR="004F1A91">
              <w:noBreakHyphen/>
            </w:r>
            <w:r w:rsidRPr="00CA3613">
              <w:t>knock entry would endanger a person's life or would result in the destruction of evidence</w:t>
            </w:r>
            <w:r w:rsidR="00940228">
              <w:t>; and</w:t>
            </w:r>
          </w:p>
          <w:p w14:paraId="53FD10AA" w14:textId="554215A3" w:rsidR="00940228" w:rsidRPr="009C36CD" w:rsidRDefault="00CC7E28" w:rsidP="004F1A9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B52D8F">
              <w:t xml:space="preserve">warrant requires the </w:t>
            </w:r>
            <w:r>
              <w:t>same conditions applicable to an ar</w:t>
            </w:r>
            <w:r>
              <w:t xml:space="preserve">rest warrant </w:t>
            </w:r>
            <w:r w:rsidR="00B52D8F">
              <w:t>under the bill's provisions with regard to the hours when the no-knock entry may be performed and each peace officer executing the warrant</w:t>
            </w:r>
            <w:r>
              <w:t>.</w:t>
            </w:r>
          </w:p>
          <w:p w14:paraId="6211BC36" w14:textId="77777777" w:rsidR="008423E4" w:rsidRPr="00835628" w:rsidRDefault="008423E4" w:rsidP="004F1A91">
            <w:pPr>
              <w:rPr>
                <w:b/>
              </w:rPr>
            </w:pPr>
          </w:p>
        </w:tc>
      </w:tr>
      <w:tr w:rsidR="00F06A57" w14:paraId="7A85F3CA" w14:textId="77777777" w:rsidTr="00345119">
        <w:tc>
          <w:tcPr>
            <w:tcW w:w="9576" w:type="dxa"/>
          </w:tcPr>
          <w:p w14:paraId="6B4C4B40" w14:textId="77777777" w:rsidR="008423E4" w:rsidRPr="00A8133F" w:rsidRDefault="00CC7E28" w:rsidP="004F1A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EFB482" w14:textId="77777777" w:rsidR="008423E4" w:rsidRDefault="008423E4" w:rsidP="004F1A91"/>
          <w:p w14:paraId="4EECCC8C" w14:textId="77777777" w:rsidR="008423E4" w:rsidRPr="003624F2" w:rsidRDefault="00CC7E28" w:rsidP="004F1A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6FF138" w14:textId="77777777" w:rsidR="008423E4" w:rsidRPr="00233FDB" w:rsidRDefault="008423E4" w:rsidP="004F1A91">
            <w:pPr>
              <w:rPr>
                <w:b/>
              </w:rPr>
            </w:pPr>
          </w:p>
        </w:tc>
      </w:tr>
      <w:tr w:rsidR="00F06A57" w14:paraId="0EC68D0E" w14:textId="77777777" w:rsidTr="00345119">
        <w:tc>
          <w:tcPr>
            <w:tcW w:w="9576" w:type="dxa"/>
          </w:tcPr>
          <w:p w14:paraId="399E7456" w14:textId="77777777" w:rsidR="00150C5E" w:rsidRDefault="00CC7E28" w:rsidP="004F1A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0D62B58" w14:textId="77777777" w:rsidR="00F3448C" w:rsidRDefault="00F3448C" w:rsidP="004F1A91">
            <w:pPr>
              <w:jc w:val="both"/>
            </w:pPr>
          </w:p>
          <w:p w14:paraId="48CD222D" w14:textId="1EFC922D" w:rsidR="00F3448C" w:rsidRDefault="00CC7E28" w:rsidP="004F1A91">
            <w:pPr>
              <w:jc w:val="both"/>
            </w:pPr>
            <w:r>
              <w:t xml:space="preserve">While C.S.H.B. 1272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14:paraId="5A8079A6" w14:textId="6AACECAE" w:rsidR="00F3448C" w:rsidRDefault="00F3448C" w:rsidP="004F1A91">
            <w:pPr>
              <w:jc w:val="both"/>
            </w:pPr>
          </w:p>
          <w:p w14:paraId="0700BD49" w14:textId="6EEF7522" w:rsidR="00F3448C" w:rsidRDefault="00CC7E28" w:rsidP="004F1A91">
            <w:pPr>
              <w:jc w:val="both"/>
            </w:pPr>
            <w:r>
              <w:t>The substitute</w:t>
            </w:r>
            <w:r w:rsidR="00D54FB9">
              <w:t xml:space="preserve"> authorizes </w:t>
            </w:r>
            <w:r w:rsidR="00940228">
              <w:t xml:space="preserve">a magistrate </w:t>
            </w:r>
            <w:r w:rsidR="00D54FB9">
              <w:t xml:space="preserve">to </w:t>
            </w:r>
            <w:r w:rsidR="00940228">
              <w:t>issu</w:t>
            </w:r>
            <w:r w:rsidR="00D54FB9">
              <w:t>e</w:t>
            </w:r>
            <w:r w:rsidR="00940228">
              <w:t xml:space="preserve"> an arrest warrant or search warrant that authorizes the use of a no-knock entry </w:t>
            </w:r>
            <w:r w:rsidR="00D54FB9">
              <w:t xml:space="preserve">under limited circumstances and describes those circumstances, whereas the original explicitly prohibited </w:t>
            </w:r>
            <w:r w:rsidR="003A5914">
              <w:t xml:space="preserve">a magistrate </w:t>
            </w:r>
            <w:r w:rsidR="00D54FB9">
              <w:t>from issuing an arrest warrant or search warrant that authorizes a no-knock entry</w:t>
            </w:r>
            <w:r w:rsidR="00940228">
              <w:t>.</w:t>
            </w:r>
          </w:p>
          <w:p w14:paraId="2F5FF1A8" w14:textId="44D7F73B" w:rsidR="00F3448C" w:rsidRPr="00F3448C" w:rsidRDefault="00F3448C" w:rsidP="004F1A91">
            <w:pPr>
              <w:jc w:val="both"/>
            </w:pPr>
          </w:p>
        </w:tc>
      </w:tr>
      <w:tr w:rsidR="00F06A57" w14:paraId="39982A37" w14:textId="77777777" w:rsidTr="00345119">
        <w:tc>
          <w:tcPr>
            <w:tcW w:w="9576" w:type="dxa"/>
          </w:tcPr>
          <w:p w14:paraId="4275BB1D" w14:textId="77777777" w:rsidR="00150C5E" w:rsidRPr="009C1E9A" w:rsidRDefault="00150C5E" w:rsidP="004F1A91">
            <w:pPr>
              <w:rPr>
                <w:b/>
                <w:u w:val="single"/>
              </w:rPr>
            </w:pPr>
          </w:p>
        </w:tc>
      </w:tr>
      <w:tr w:rsidR="00F06A57" w14:paraId="3589DF9D" w14:textId="77777777" w:rsidTr="00345119">
        <w:tc>
          <w:tcPr>
            <w:tcW w:w="9576" w:type="dxa"/>
          </w:tcPr>
          <w:p w14:paraId="55C9B0A0" w14:textId="77777777" w:rsidR="00150C5E" w:rsidRPr="00150C5E" w:rsidRDefault="00150C5E" w:rsidP="004F1A91">
            <w:pPr>
              <w:jc w:val="both"/>
            </w:pPr>
          </w:p>
        </w:tc>
      </w:tr>
    </w:tbl>
    <w:p w14:paraId="7FE695B9" w14:textId="77777777" w:rsidR="008423E4" w:rsidRPr="00BE0E75" w:rsidRDefault="008423E4" w:rsidP="004F1A91">
      <w:pPr>
        <w:jc w:val="both"/>
        <w:rPr>
          <w:rFonts w:ascii="Arial" w:hAnsi="Arial"/>
          <w:sz w:val="16"/>
          <w:szCs w:val="16"/>
        </w:rPr>
      </w:pPr>
    </w:p>
    <w:p w14:paraId="4C0AD876" w14:textId="77777777" w:rsidR="004108C3" w:rsidRPr="008423E4" w:rsidRDefault="004108C3" w:rsidP="004F1A9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01CE" w14:textId="77777777" w:rsidR="00000000" w:rsidRDefault="00CC7E28">
      <w:r>
        <w:separator/>
      </w:r>
    </w:p>
  </w:endnote>
  <w:endnote w:type="continuationSeparator" w:id="0">
    <w:p w14:paraId="4F8D69F8" w14:textId="77777777" w:rsidR="00000000" w:rsidRDefault="00CC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3C4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6A57" w14:paraId="7BBE9991" w14:textId="77777777" w:rsidTr="009C1E9A">
      <w:trPr>
        <w:cantSplit/>
      </w:trPr>
      <w:tc>
        <w:tcPr>
          <w:tcW w:w="0" w:type="pct"/>
        </w:tcPr>
        <w:p w14:paraId="7E5580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2A72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7BAA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3D7D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01DE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6A57" w14:paraId="1346D934" w14:textId="77777777" w:rsidTr="009C1E9A">
      <w:trPr>
        <w:cantSplit/>
      </w:trPr>
      <w:tc>
        <w:tcPr>
          <w:tcW w:w="0" w:type="pct"/>
        </w:tcPr>
        <w:p w14:paraId="5A1642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095340" w14:textId="21AE2072" w:rsidR="00EC379B" w:rsidRPr="009C1E9A" w:rsidRDefault="00CC7E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19436</w:t>
          </w:r>
        </w:p>
      </w:tc>
      <w:tc>
        <w:tcPr>
          <w:tcW w:w="2453" w:type="pct"/>
        </w:tcPr>
        <w:p w14:paraId="37CB74A6" w14:textId="3A3B7626" w:rsidR="00EC379B" w:rsidRDefault="00CC7E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3A26">
            <w:t>21.102.721</w:t>
          </w:r>
          <w:r>
            <w:fldChar w:fldCharType="end"/>
          </w:r>
        </w:p>
      </w:tc>
    </w:tr>
    <w:tr w:rsidR="00F06A57" w14:paraId="78E3896E" w14:textId="77777777" w:rsidTr="009C1E9A">
      <w:trPr>
        <w:cantSplit/>
      </w:trPr>
      <w:tc>
        <w:tcPr>
          <w:tcW w:w="0" w:type="pct"/>
        </w:tcPr>
        <w:p w14:paraId="20074BA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EDFC24" w14:textId="6BA1D5E2" w:rsidR="00EC379B" w:rsidRPr="009C1E9A" w:rsidRDefault="00CC7E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18543</w:t>
          </w:r>
        </w:p>
      </w:tc>
      <w:tc>
        <w:tcPr>
          <w:tcW w:w="2453" w:type="pct"/>
        </w:tcPr>
        <w:p w14:paraId="0EEECCF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3907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6A57" w14:paraId="46F852E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1C3FAA" w14:textId="53C71CAD" w:rsidR="00EC379B" w:rsidRDefault="00CC7E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33A2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2C33C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91776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684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707E" w14:textId="77777777" w:rsidR="00000000" w:rsidRDefault="00CC7E28">
      <w:r>
        <w:separator/>
      </w:r>
    </w:p>
  </w:footnote>
  <w:footnote w:type="continuationSeparator" w:id="0">
    <w:p w14:paraId="2886605C" w14:textId="77777777" w:rsidR="00000000" w:rsidRDefault="00CC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01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099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91E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4D7"/>
    <w:multiLevelType w:val="hybridMultilevel"/>
    <w:tmpl w:val="CDCC9E0C"/>
    <w:lvl w:ilvl="0" w:tplc="5CFCB97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7E0E65C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2D82666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6FD851D6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D5AE27CE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7DCECF24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B2AE16A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D8A5610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E8609B2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4345FAD"/>
    <w:multiLevelType w:val="hybridMultilevel"/>
    <w:tmpl w:val="57B63EC0"/>
    <w:lvl w:ilvl="0" w:tplc="47249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E5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A8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08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A1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4E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0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60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C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7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F70"/>
    <w:rsid w:val="000532BD"/>
    <w:rsid w:val="00055C12"/>
    <w:rsid w:val="000608B0"/>
    <w:rsid w:val="00060E71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CA5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D48"/>
    <w:rsid w:val="00102D3F"/>
    <w:rsid w:val="00102EC7"/>
    <w:rsid w:val="0010347D"/>
    <w:rsid w:val="001060F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C5E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DDE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D1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82C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91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A91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3FF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609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5CF"/>
    <w:rsid w:val="006D504F"/>
    <w:rsid w:val="006E0CAC"/>
    <w:rsid w:val="006E1CFB"/>
    <w:rsid w:val="006E1F94"/>
    <w:rsid w:val="006E26C1"/>
    <w:rsid w:val="006E30A8"/>
    <w:rsid w:val="006E45B0"/>
    <w:rsid w:val="006E5692"/>
    <w:rsid w:val="006E7DE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A26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149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450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4F5"/>
    <w:rsid w:val="007C462E"/>
    <w:rsid w:val="007C496B"/>
    <w:rsid w:val="007C6803"/>
    <w:rsid w:val="007D2892"/>
    <w:rsid w:val="007D2DCC"/>
    <w:rsid w:val="007D47E1"/>
    <w:rsid w:val="007D519E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228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50E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03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2C5"/>
    <w:rsid w:val="00B43672"/>
    <w:rsid w:val="00B473D8"/>
    <w:rsid w:val="00B5165A"/>
    <w:rsid w:val="00B524C1"/>
    <w:rsid w:val="00B52C8D"/>
    <w:rsid w:val="00B52D8F"/>
    <w:rsid w:val="00B564BF"/>
    <w:rsid w:val="00B6104E"/>
    <w:rsid w:val="00B610C7"/>
    <w:rsid w:val="00B62106"/>
    <w:rsid w:val="00B626A8"/>
    <w:rsid w:val="00B64A7D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E2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613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C7E28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FB9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8A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B0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258"/>
    <w:rsid w:val="00E667F3"/>
    <w:rsid w:val="00E67794"/>
    <w:rsid w:val="00E70CC6"/>
    <w:rsid w:val="00E71254"/>
    <w:rsid w:val="00E7172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6DF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B3D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A57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48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DBB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D200D-9EA9-47DA-B45B-D38177D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0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F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F70"/>
    <w:rPr>
      <w:b/>
      <w:bCs/>
    </w:rPr>
  </w:style>
  <w:style w:type="paragraph" w:styleId="Revision">
    <w:name w:val="Revision"/>
    <w:hidden/>
    <w:uiPriority w:val="99"/>
    <w:semiHidden/>
    <w:rsid w:val="00050F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3415</Characters>
  <Application>Microsoft Office Word</Application>
  <DocSecurity>4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HB01272 (Committee Report (Substituted))</vt:lpstr>
    </vt:vector>
  </TitlesOfParts>
  <Company>State of Texas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19436</dc:subject>
  <dc:creator>State of Texas</dc:creator>
  <dc:description>HB 1272 by Crockett-(H)Criminal Jurisprudence (Substitute Document Number: 87R 18543)</dc:description>
  <cp:lastModifiedBy>Emma Bodisch</cp:lastModifiedBy>
  <cp:revision>2</cp:revision>
  <cp:lastPrinted>2003-11-26T17:21:00Z</cp:lastPrinted>
  <dcterms:created xsi:type="dcterms:W3CDTF">2021-04-19T21:57:00Z</dcterms:created>
  <dcterms:modified xsi:type="dcterms:W3CDTF">2021-04-19T21:57:00Z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21.102.721</vt:lpwstr>
  </property>
</Properties>
</file>