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E498F" w14:paraId="12B1B5E3" w14:textId="77777777" w:rsidTr="00345119">
        <w:tc>
          <w:tcPr>
            <w:tcW w:w="9576" w:type="dxa"/>
            <w:noWrap/>
          </w:tcPr>
          <w:p w14:paraId="72145FF2" w14:textId="77777777" w:rsidR="008423E4" w:rsidRPr="0022177D" w:rsidRDefault="00C04912" w:rsidP="00E71BB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69B7964" w14:textId="77777777" w:rsidR="008423E4" w:rsidRPr="0022177D" w:rsidRDefault="008423E4" w:rsidP="00E71BBA">
      <w:pPr>
        <w:jc w:val="center"/>
      </w:pPr>
    </w:p>
    <w:p w14:paraId="558CC672" w14:textId="77777777" w:rsidR="008423E4" w:rsidRPr="00B31F0E" w:rsidRDefault="008423E4" w:rsidP="00E71BBA"/>
    <w:p w14:paraId="14A5EA72" w14:textId="77777777" w:rsidR="008423E4" w:rsidRPr="00742794" w:rsidRDefault="008423E4" w:rsidP="00E71BB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498F" w14:paraId="29500EAB" w14:textId="77777777" w:rsidTr="00345119">
        <w:tc>
          <w:tcPr>
            <w:tcW w:w="9576" w:type="dxa"/>
          </w:tcPr>
          <w:p w14:paraId="3C1FC186" w14:textId="545A90B5" w:rsidR="008423E4" w:rsidRPr="00861995" w:rsidRDefault="00C04912" w:rsidP="00E71BBA">
            <w:pPr>
              <w:jc w:val="right"/>
            </w:pPr>
            <w:r>
              <w:t>C.S.H.B. 1280</w:t>
            </w:r>
          </w:p>
        </w:tc>
      </w:tr>
      <w:tr w:rsidR="00EE498F" w14:paraId="26F728B6" w14:textId="77777777" w:rsidTr="00345119">
        <w:tc>
          <w:tcPr>
            <w:tcW w:w="9576" w:type="dxa"/>
          </w:tcPr>
          <w:p w14:paraId="7F4F798E" w14:textId="58A8B2BF" w:rsidR="008423E4" w:rsidRPr="00861995" w:rsidRDefault="00C04912" w:rsidP="00D73C9A">
            <w:pPr>
              <w:jc w:val="right"/>
            </w:pPr>
            <w:r>
              <w:t xml:space="preserve">By: </w:t>
            </w:r>
            <w:r w:rsidR="00D73C9A">
              <w:t>Capriglione</w:t>
            </w:r>
          </w:p>
        </w:tc>
      </w:tr>
      <w:tr w:rsidR="00EE498F" w14:paraId="50D66EA6" w14:textId="77777777" w:rsidTr="00345119">
        <w:tc>
          <w:tcPr>
            <w:tcW w:w="9576" w:type="dxa"/>
          </w:tcPr>
          <w:p w14:paraId="72E185C9" w14:textId="70543147" w:rsidR="008423E4" w:rsidRPr="00861995" w:rsidRDefault="00C04912" w:rsidP="00E71BBA">
            <w:pPr>
              <w:jc w:val="right"/>
            </w:pPr>
            <w:r>
              <w:t>Public Health</w:t>
            </w:r>
          </w:p>
        </w:tc>
      </w:tr>
      <w:tr w:rsidR="00EE498F" w14:paraId="6AD2CEAA" w14:textId="77777777" w:rsidTr="00345119">
        <w:tc>
          <w:tcPr>
            <w:tcW w:w="9576" w:type="dxa"/>
          </w:tcPr>
          <w:p w14:paraId="4D5FAF3E" w14:textId="54C2A237" w:rsidR="008423E4" w:rsidRDefault="00C04912" w:rsidP="00E71BBA">
            <w:pPr>
              <w:jc w:val="right"/>
            </w:pPr>
            <w:r>
              <w:t>Committee Report (Substituted)</w:t>
            </w:r>
          </w:p>
        </w:tc>
      </w:tr>
    </w:tbl>
    <w:p w14:paraId="344F343D" w14:textId="77777777" w:rsidR="008423E4" w:rsidRDefault="008423E4" w:rsidP="00E71BBA">
      <w:pPr>
        <w:tabs>
          <w:tab w:val="right" w:pos="9360"/>
        </w:tabs>
      </w:pPr>
    </w:p>
    <w:p w14:paraId="5D93D1F7" w14:textId="77777777" w:rsidR="008423E4" w:rsidRDefault="008423E4" w:rsidP="00E71BBA"/>
    <w:p w14:paraId="0AEAC75A" w14:textId="77777777" w:rsidR="008423E4" w:rsidRDefault="008423E4" w:rsidP="00E71BB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E498F" w14:paraId="5A184CF9" w14:textId="77777777" w:rsidTr="00E63644">
        <w:tc>
          <w:tcPr>
            <w:tcW w:w="9360" w:type="dxa"/>
          </w:tcPr>
          <w:p w14:paraId="6BEE7A45" w14:textId="77777777" w:rsidR="008423E4" w:rsidRPr="00A8133F" w:rsidRDefault="00C04912" w:rsidP="00E71B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D59A36" w14:textId="77777777" w:rsidR="008423E4" w:rsidRDefault="008423E4" w:rsidP="00E71BBA"/>
          <w:p w14:paraId="310A8770" w14:textId="5F7B029B" w:rsidR="00F75383" w:rsidRDefault="00C04912" w:rsidP="00E71BBA">
            <w:pPr>
              <w:pStyle w:val="Header"/>
              <w:jc w:val="both"/>
            </w:pPr>
            <w:r>
              <w:t xml:space="preserve">In 1973, the </w:t>
            </w:r>
            <w:r w:rsidR="00383045">
              <w:t xml:space="preserve">U.S. </w:t>
            </w:r>
            <w:r>
              <w:t>Supreme Court struck down</w:t>
            </w:r>
            <w:r w:rsidR="001D6C05">
              <w:t xml:space="preserve"> the Texas statutes prohibiting abortion. Some say that although </w:t>
            </w:r>
            <w:r w:rsidR="00383045">
              <w:t>t</w:t>
            </w:r>
            <w:r>
              <w:t xml:space="preserve">he Texas Legislature has never explicitly repealed </w:t>
            </w:r>
            <w:r w:rsidR="001D6C05">
              <w:t xml:space="preserve">those </w:t>
            </w:r>
            <w:r>
              <w:t>statutes</w:t>
            </w:r>
            <w:r w:rsidR="001D6C05">
              <w:t xml:space="preserve">, the 5th Circuit Court of Appeals, in </w:t>
            </w:r>
            <w:r w:rsidR="001D6C05" w:rsidRPr="000F72F1">
              <w:rPr>
                <w:i/>
              </w:rPr>
              <w:t>McCorvey v. Hill</w:t>
            </w:r>
            <w:r w:rsidR="001D6C05">
              <w:t xml:space="preserve">, held that </w:t>
            </w:r>
            <w:r>
              <w:t>the pre</w:t>
            </w:r>
            <w:r w:rsidR="00952274">
              <w:t>–</w:t>
            </w:r>
            <w:r w:rsidR="00952274" w:rsidRPr="007C108F">
              <w:rPr>
                <w:i/>
              </w:rPr>
              <w:t>Roe</w:t>
            </w:r>
            <w:r w:rsidR="00952274">
              <w:rPr>
                <w:i/>
              </w:rPr>
              <w:t> v. Wade</w:t>
            </w:r>
            <w:r w:rsidR="00952274">
              <w:t xml:space="preserve"> </w:t>
            </w:r>
            <w:r>
              <w:t xml:space="preserve">statutes </w:t>
            </w:r>
            <w:r w:rsidR="001D6C05">
              <w:t>prohibiting abortion were repealed by implication by the enactment of several post–</w:t>
            </w:r>
            <w:r w:rsidR="001D6C05" w:rsidRPr="007C108F">
              <w:rPr>
                <w:i/>
              </w:rPr>
              <w:t>Roe</w:t>
            </w:r>
            <w:r w:rsidR="001D6C05">
              <w:rPr>
                <w:i/>
              </w:rPr>
              <w:t> v. Wade</w:t>
            </w:r>
            <w:r w:rsidR="001D6C05">
              <w:t xml:space="preserve"> laws regulating </w:t>
            </w:r>
            <w:r>
              <w:t>abortion</w:t>
            </w:r>
            <w:r w:rsidR="004D7C78">
              <w:t>. Interested parties assert that the 5</w:t>
            </w:r>
            <w:r w:rsidR="004D7C78" w:rsidRPr="000F72F1">
              <w:rPr>
                <w:vertAlign w:val="superscript"/>
              </w:rPr>
              <w:t>th</w:t>
            </w:r>
            <w:r w:rsidR="004D7C78">
              <w:t xml:space="preserve"> Circuit's opinion is not binding on a Texas court, but the court's opinion has created some doubt as to whether the pre–</w:t>
            </w:r>
            <w:r w:rsidR="004D7C78" w:rsidRPr="007C108F">
              <w:rPr>
                <w:i/>
              </w:rPr>
              <w:t>Roe</w:t>
            </w:r>
            <w:r w:rsidR="004D7C78">
              <w:rPr>
                <w:i/>
              </w:rPr>
              <w:t xml:space="preserve"> v. Wade </w:t>
            </w:r>
            <w:r w:rsidR="004D7C78">
              <w:t xml:space="preserve">Texas abortion statutes would be enforceable if and when the U.S. Supreme Court overrules </w:t>
            </w:r>
            <w:r w:rsidR="004D7C78" w:rsidRPr="007C108F">
              <w:rPr>
                <w:i/>
              </w:rPr>
              <w:t>Roe</w:t>
            </w:r>
            <w:r w:rsidR="004D7C78">
              <w:rPr>
                <w:i/>
              </w:rPr>
              <w:t> v. Wade</w:t>
            </w:r>
            <w:r w:rsidR="004D7C78">
              <w:t xml:space="preserve">. </w:t>
            </w:r>
            <w:r w:rsidR="004C5C44">
              <w:t xml:space="preserve">C.S.H.B. 1280 seeks to </w:t>
            </w:r>
            <w:r w:rsidR="004D7C78">
              <w:t>allow the state of Texas to prohibit abortion to the extent permitted  by</w:t>
            </w:r>
            <w:r w:rsidR="004C5C44">
              <w:t xml:space="preserve"> the </w:t>
            </w:r>
            <w:r w:rsidR="00971235" w:rsidRPr="00971235">
              <w:t>U.S.</w:t>
            </w:r>
            <w:r w:rsidR="00952274">
              <w:t> </w:t>
            </w:r>
            <w:r w:rsidR="00971235" w:rsidRPr="00971235">
              <w:t>Supreme Court</w:t>
            </w:r>
            <w:r w:rsidR="004C5C44">
              <w:t xml:space="preserve"> </w:t>
            </w:r>
            <w:r w:rsidR="004D7C78">
              <w:t xml:space="preserve">overruling, in whole or in part, </w:t>
            </w:r>
            <w:r w:rsidR="004D7C78" w:rsidRPr="007C108F">
              <w:rPr>
                <w:i/>
              </w:rPr>
              <w:t>Roe</w:t>
            </w:r>
            <w:r w:rsidR="004D7C78">
              <w:rPr>
                <w:i/>
              </w:rPr>
              <w:t> v. Wade</w:t>
            </w:r>
            <w:r w:rsidR="004D7C78">
              <w:t xml:space="preserve">, as modified by </w:t>
            </w:r>
            <w:r w:rsidR="004D7C78" w:rsidRPr="000F72F1">
              <w:rPr>
                <w:i/>
              </w:rPr>
              <w:t>Planned Parenthood v. Casey</w:t>
            </w:r>
            <w:r w:rsidR="004D7C78">
              <w:t xml:space="preserve">, or by a federal constitutional </w:t>
            </w:r>
            <w:r w:rsidR="004C5C44">
              <w:t xml:space="preserve">amendment that </w:t>
            </w:r>
            <w:r w:rsidR="004D7C78">
              <w:t xml:space="preserve">would </w:t>
            </w:r>
            <w:r w:rsidR="004C5C44">
              <w:t xml:space="preserve">make such a </w:t>
            </w:r>
            <w:r w:rsidR="004D7C78">
              <w:t xml:space="preserve">prohibition </w:t>
            </w:r>
            <w:r w:rsidR="004C5C44">
              <w:t>lawful.</w:t>
            </w:r>
          </w:p>
          <w:p w14:paraId="2FC600C5" w14:textId="77777777" w:rsidR="008423E4" w:rsidRPr="00E26B13" w:rsidRDefault="008423E4" w:rsidP="00E71BBA">
            <w:pPr>
              <w:rPr>
                <w:b/>
              </w:rPr>
            </w:pPr>
          </w:p>
        </w:tc>
      </w:tr>
      <w:tr w:rsidR="00EE498F" w14:paraId="7F10F5B3" w14:textId="77777777" w:rsidTr="00E63644">
        <w:tc>
          <w:tcPr>
            <w:tcW w:w="9360" w:type="dxa"/>
          </w:tcPr>
          <w:p w14:paraId="714DCA44" w14:textId="77777777" w:rsidR="0017725B" w:rsidRDefault="00C04912" w:rsidP="00E71B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557C6D" w14:textId="77777777" w:rsidR="0017725B" w:rsidRDefault="0017725B" w:rsidP="00E71BBA">
            <w:pPr>
              <w:rPr>
                <w:b/>
                <w:u w:val="single"/>
              </w:rPr>
            </w:pPr>
          </w:p>
          <w:p w14:paraId="4E59A4A9" w14:textId="77777777" w:rsidR="0017725B" w:rsidRDefault="00C04912" w:rsidP="00E71BBA">
            <w:pPr>
              <w:jc w:val="both"/>
            </w:pPr>
            <w:r>
              <w:t>It is the committee's opinion that this bill expressly does one or more of the following</w:t>
            </w:r>
            <w:r>
              <w:t>: creates a criminal offense, increases the punishment for an existing criminal offense or category of offenses, or changes the eligibility of a person for community supervision, parole, or mandatory supervision.</w:t>
            </w:r>
          </w:p>
          <w:p w14:paraId="7A9346D3" w14:textId="0D6A9EC5" w:rsidR="008639A6" w:rsidRPr="007A79AA" w:rsidRDefault="008639A6" w:rsidP="00E71BBA">
            <w:pPr>
              <w:jc w:val="both"/>
            </w:pPr>
          </w:p>
        </w:tc>
      </w:tr>
      <w:tr w:rsidR="00EE498F" w14:paraId="3F06FFEB" w14:textId="77777777" w:rsidTr="00E63644">
        <w:tc>
          <w:tcPr>
            <w:tcW w:w="9360" w:type="dxa"/>
          </w:tcPr>
          <w:p w14:paraId="48AEC757" w14:textId="77777777" w:rsidR="008423E4" w:rsidRPr="00A8133F" w:rsidRDefault="00C04912" w:rsidP="00E71B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422436C" w14:textId="77777777" w:rsidR="008423E4" w:rsidRDefault="008423E4" w:rsidP="00E71BBA"/>
          <w:p w14:paraId="4B58405D" w14:textId="77777777" w:rsidR="008423E4" w:rsidRDefault="00C04912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618178DF" w14:textId="76C053B5" w:rsidR="008639A6" w:rsidRPr="007A79AA" w:rsidRDefault="008639A6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E498F" w14:paraId="529FD1C1" w14:textId="77777777" w:rsidTr="00E63644">
        <w:tc>
          <w:tcPr>
            <w:tcW w:w="9360" w:type="dxa"/>
          </w:tcPr>
          <w:p w14:paraId="04A47ADF" w14:textId="63E810F4" w:rsidR="008423E4" w:rsidRPr="00FB69FD" w:rsidRDefault="00C04912" w:rsidP="00E71B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</w:p>
          <w:p w14:paraId="2628B7EB" w14:textId="77777777" w:rsidR="004637F8" w:rsidRDefault="004637F8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0A7AC1" w14:textId="5C543957" w:rsidR="007A79AA" w:rsidRDefault="00C04912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93E6C">
              <w:t xml:space="preserve">H.B. 1280 amends the </w:t>
            </w:r>
            <w:r w:rsidR="00B93E6C" w:rsidRPr="00B93E6C">
              <w:t>Health and Safety Code</w:t>
            </w:r>
            <w:r w:rsidR="00B93E6C">
              <w:t xml:space="preserve"> to </w:t>
            </w:r>
            <w:r w:rsidR="0047180E">
              <w:t xml:space="preserve">create a second degree felony offense for </w:t>
            </w:r>
            <w:r w:rsidR="00B93E6C">
              <w:t>a</w:t>
            </w:r>
            <w:r w:rsidR="00B93E6C" w:rsidRPr="00B93E6C">
              <w:t xml:space="preserve"> person </w:t>
            </w:r>
            <w:r w:rsidR="0047180E">
              <w:t>who</w:t>
            </w:r>
            <w:r w:rsidR="00B93E6C" w:rsidRPr="00B93E6C">
              <w:t xml:space="preserve"> knowingly perform</w:t>
            </w:r>
            <w:r w:rsidR="0047180E">
              <w:t>s</w:t>
            </w:r>
            <w:r w:rsidR="00B93E6C">
              <w:t>, induc</w:t>
            </w:r>
            <w:r w:rsidR="0047180E">
              <w:t>es</w:t>
            </w:r>
            <w:r w:rsidR="00B93E6C" w:rsidRPr="00B93E6C">
              <w:t>, or attempt</w:t>
            </w:r>
            <w:r w:rsidR="0047180E">
              <w:t>s</w:t>
            </w:r>
            <w:r w:rsidR="00B93E6C" w:rsidRPr="00B93E6C">
              <w:t xml:space="preserve"> an abortion</w:t>
            </w:r>
            <w:r w:rsidR="00B64F2C">
              <w:t xml:space="preserve">. </w:t>
            </w:r>
            <w:r w:rsidR="00C41E49">
              <w:t xml:space="preserve">The </w:t>
            </w:r>
            <w:r w:rsidR="00B64F2C" w:rsidRPr="00B64F2C">
              <w:t xml:space="preserve">bill </w:t>
            </w:r>
            <w:r w:rsidR="00A94A61">
              <w:t>enhances the</w:t>
            </w:r>
            <w:r w:rsidR="00A94A61" w:rsidRPr="00B64F2C">
              <w:t xml:space="preserve"> </w:t>
            </w:r>
            <w:r w:rsidR="00A94A61">
              <w:t xml:space="preserve">penalty for the offense to a first degree felony if the unborn child dies as a result of the offense. The bill also </w:t>
            </w:r>
            <w:r w:rsidR="00A12FEC">
              <w:t xml:space="preserve">subjects a person who engages in </w:t>
            </w:r>
            <w:r w:rsidR="00A94A61">
              <w:t xml:space="preserve">the prohibited </w:t>
            </w:r>
            <w:r w:rsidR="00FE51B3">
              <w:t>conduct</w:t>
            </w:r>
            <w:r w:rsidR="00A12FEC">
              <w:t xml:space="preserve"> to</w:t>
            </w:r>
            <w:r w:rsidR="00B64F2C" w:rsidRPr="00B64F2C">
              <w:t xml:space="preserve"> a civil penalty </w:t>
            </w:r>
            <w:r w:rsidR="00A12FEC">
              <w:t>of not less than $100,000 for each violation</w:t>
            </w:r>
            <w:r w:rsidR="00EE2510">
              <w:t xml:space="preserve">. </w:t>
            </w:r>
            <w:r w:rsidR="00FB69FD">
              <w:t>The bill</w:t>
            </w:r>
            <w:r w:rsidR="00B64F2C">
              <w:t xml:space="preserve"> </w:t>
            </w:r>
            <w:r w:rsidRPr="00F43F4E">
              <w:t xml:space="preserve">establishes </w:t>
            </w:r>
            <w:r w:rsidR="00FE51B3">
              <w:t xml:space="preserve">the following circumstances </w:t>
            </w:r>
            <w:r w:rsidRPr="00F43F4E">
              <w:t xml:space="preserve">as an exception to the </w:t>
            </w:r>
            <w:r w:rsidR="00FE51B3">
              <w:t xml:space="preserve">application of the </w:t>
            </w:r>
            <w:r w:rsidRPr="00F43F4E">
              <w:t>offense:</w:t>
            </w:r>
          </w:p>
          <w:p w14:paraId="6E140B5D" w14:textId="77777777" w:rsidR="007A79AA" w:rsidRDefault="00C04912" w:rsidP="00E71B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E6FEF">
              <w:t>the person performing, inducing, or attempting the abortion is a licensed physician</w:t>
            </w:r>
            <w:r w:rsidRPr="008E6FEF">
              <w:t>;</w:t>
            </w:r>
          </w:p>
          <w:p w14:paraId="1204D30B" w14:textId="69ACA55D" w:rsidR="007A79AA" w:rsidRDefault="00C04912" w:rsidP="00E71B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 the exercise of reasonable medical judgment, </w:t>
            </w:r>
            <w:r w:rsidRPr="00581B07">
              <w:t xml:space="preserve">the pregnant female has a life-threatening physical condition aggravated by, caused by, or arising from a pregnancy that places </w:t>
            </w:r>
            <w:r>
              <w:t>her</w:t>
            </w:r>
            <w:r w:rsidRPr="00581B07">
              <w:t xml:space="preserve"> at risk of death or poses a serious risk of substantial impairment of a ma</w:t>
            </w:r>
            <w:r w:rsidRPr="00581B07">
              <w:t>jor bodily function unless the abortion is performed or induced; and</w:t>
            </w:r>
          </w:p>
          <w:p w14:paraId="5E2101F8" w14:textId="1F50D168" w:rsidR="007A79AA" w:rsidRDefault="00C04912" w:rsidP="00E71BBA">
            <w:pPr>
              <w:pStyle w:val="Header"/>
              <w:numPr>
                <w:ilvl w:val="0"/>
                <w:numId w:val="1"/>
              </w:numPr>
              <w:jc w:val="both"/>
            </w:pPr>
            <w:r w:rsidRPr="00581B07">
              <w:t>the person performs, induces, or attempts the abortion in a manner that</w:t>
            </w:r>
            <w:r w:rsidR="00FE51B3">
              <w:t>, in the exercise of reasonable</w:t>
            </w:r>
            <w:r w:rsidR="00852085">
              <w:t xml:space="preserve"> medical</w:t>
            </w:r>
            <w:r w:rsidR="00FE51B3">
              <w:t xml:space="preserve"> judgment,</w:t>
            </w:r>
            <w:r>
              <w:t xml:space="preserve"> </w:t>
            </w:r>
            <w:r w:rsidRPr="00581B07">
              <w:t>provides the best opportunity for the unborn child to survive unle</w:t>
            </w:r>
            <w:r w:rsidRPr="00581B07">
              <w:t>ss</w:t>
            </w:r>
            <w:r w:rsidR="00852085">
              <w:t>, in the reasonable medical judgment,</w:t>
            </w:r>
            <w:r>
              <w:t xml:space="preserve"> that manner would create a greater risk </w:t>
            </w:r>
            <w:r w:rsidR="00852085">
              <w:t xml:space="preserve">of </w:t>
            </w:r>
            <w:r>
              <w:t>the pregnant female</w:t>
            </w:r>
            <w:r w:rsidR="00852085">
              <w:t>'s death or a serious risk of substantial impairment of a major bodily function of the pregnant female</w:t>
            </w:r>
            <w:r>
              <w:t>.</w:t>
            </w:r>
          </w:p>
          <w:p w14:paraId="56B15DF8" w14:textId="77777777" w:rsidR="00C41E49" w:rsidRDefault="00C41E49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355710B" w14:textId="4D04FDE2" w:rsidR="007A79AA" w:rsidRDefault="00C04912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41E49">
              <w:t>H.B. 1280</w:t>
            </w:r>
            <w:r w:rsidRPr="002E0B91">
              <w:t xml:space="preserve"> </w:t>
            </w:r>
            <w:r w:rsidR="00731C35">
              <w:t xml:space="preserve">prohibits a physician from taking an action that constitutes such an exception if, </w:t>
            </w:r>
            <w:r w:rsidRPr="002E0B91">
              <w:t xml:space="preserve"> </w:t>
            </w:r>
            <w:r w:rsidR="00731C35" w:rsidRPr="00731C35">
              <w:t>at the time the abortion was performed, induced, or attempted, the person knew the risk of death or a substantial impairment of a major bodily function arose from a claim or diagnosis that the female would engage in conduct that might result in the female's death or in substantial impairment of a major bodily function</w:t>
            </w:r>
            <w:r w:rsidR="00731C35">
              <w:t>. The bill</w:t>
            </w:r>
            <w:r w:rsidR="00731C35" w:rsidRPr="002E0B91">
              <w:t xml:space="preserve"> </w:t>
            </w:r>
            <w:r w:rsidRPr="002E0B91">
              <w:t xml:space="preserve">establishes </w:t>
            </w:r>
            <w:r w:rsidR="00E21CCF">
              <w:t>that</w:t>
            </w:r>
            <w:r w:rsidRPr="002E0B91">
              <w:t xml:space="preserve"> medical treatment provided to </w:t>
            </w:r>
            <w:r w:rsidR="00E21CCF">
              <w:t>the</w:t>
            </w:r>
            <w:r w:rsidR="00E21CCF" w:rsidRPr="002E0B91">
              <w:t xml:space="preserve"> </w:t>
            </w:r>
            <w:r w:rsidRPr="002E0B91">
              <w:t xml:space="preserve">pregnant female by a </w:t>
            </w:r>
            <w:r w:rsidR="00E21CCF">
              <w:t xml:space="preserve">licensed </w:t>
            </w:r>
            <w:r w:rsidRPr="002E0B91">
              <w:t xml:space="preserve">physician that results in the accidental or </w:t>
            </w:r>
            <w:r w:rsidRPr="002E0B91">
              <w:t>unintentional injury or death of the unborn child</w:t>
            </w:r>
            <w:r w:rsidR="00E21CCF">
              <w:t xml:space="preserve"> does not constitute a violation</w:t>
            </w:r>
            <w:r>
              <w:t xml:space="preserve">. </w:t>
            </w:r>
            <w:r w:rsidRPr="002E0B91">
              <w:t>The bill</w:t>
            </w:r>
            <w:r w:rsidR="00E21CCF">
              <w:t xml:space="preserve">'s </w:t>
            </w:r>
            <w:r w:rsidRPr="002E0B91">
              <w:t xml:space="preserve">provisions </w:t>
            </w:r>
            <w:r w:rsidR="00E21CCF">
              <w:t>expressly may not be</w:t>
            </w:r>
            <w:r w:rsidRPr="002E0B91">
              <w:t xml:space="preserve"> construed to authorize the im</w:t>
            </w:r>
            <w:r w:rsidR="00300C5C">
              <w:t xml:space="preserve">position of criminal, civil, </w:t>
            </w:r>
            <w:r w:rsidRPr="002E0B91">
              <w:t>or administrative liability or penalties on a pregnant female on whom an</w:t>
            </w:r>
            <w:r w:rsidRPr="002E0B91">
              <w:t xml:space="preserve"> abortion is performed, induced, or attempted.</w:t>
            </w:r>
          </w:p>
          <w:p w14:paraId="46E20A05" w14:textId="42819B85" w:rsidR="007A79AA" w:rsidRDefault="007A79AA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93169C" w14:textId="015E2860" w:rsidR="0044568E" w:rsidRDefault="00C04912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C6E1D" w:rsidRPr="00DC6E1D">
              <w:t xml:space="preserve">H.B. 1280 </w:t>
            </w:r>
            <w:r w:rsidR="002E0B91" w:rsidRPr="002E0B91">
              <w:t>requires the attorney general to file an action to recover</w:t>
            </w:r>
            <w:r w:rsidR="00A47FB6">
              <w:t xml:space="preserve"> an applicable civil penalty </w:t>
            </w:r>
            <w:r w:rsidR="002E0B91" w:rsidRPr="002E0B91">
              <w:t xml:space="preserve">and authorizes the attorney general to recover </w:t>
            </w:r>
            <w:r w:rsidR="00A94A61">
              <w:t xml:space="preserve">attorney's </w:t>
            </w:r>
            <w:r w:rsidR="002E0B91" w:rsidRPr="002E0B91">
              <w:t xml:space="preserve">fees and costs incurred in bringing the action. </w:t>
            </w:r>
            <w:r w:rsidR="00B64F2C" w:rsidRPr="00B64F2C">
              <w:t>The bill clarifies that the fact that conduct is</w:t>
            </w:r>
            <w:r w:rsidR="00DC6E1D">
              <w:t xml:space="preserve"> subject</w:t>
            </w:r>
            <w:r w:rsidR="00B64F2C" w:rsidRPr="00B64F2C">
              <w:t xml:space="preserve"> </w:t>
            </w:r>
            <w:r w:rsidR="00DC6E1D" w:rsidRPr="00DC6E1D">
              <w:t>to a civil or criminal penalty</w:t>
            </w:r>
            <w:r w:rsidR="00DC6E1D">
              <w:t xml:space="preserve"> </w:t>
            </w:r>
            <w:r w:rsidR="00B64F2C" w:rsidRPr="00B64F2C">
              <w:t xml:space="preserve">under </w:t>
            </w:r>
            <w:r w:rsidR="00E21CCF">
              <w:t>its</w:t>
            </w:r>
            <w:r w:rsidR="00B64F2C" w:rsidRPr="00B64F2C">
              <w:t xml:space="preserve"> provisions does not abolish or impair any remedy for the conduct that is available in a civil suit</w:t>
            </w:r>
            <w:r w:rsidR="002E0B91" w:rsidRPr="002E0B91">
              <w:t>. The bill requires the appropriate licensing authority to revoke the license, permit, registration, certificate, or other authority of a physician or other health care professional who performs, induces, or attempts an abortion</w:t>
            </w:r>
            <w:r w:rsidR="00A12FEC">
              <w:t xml:space="preserve"> in violation of the bill's provisions</w:t>
            </w:r>
            <w:r w:rsidR="002E0B91" w:rsidRPr="002E0B91">
              <w:t>.</w:t>
            </w:r>
          </w:p>
          <w:p w14:paraId="179823C8" w14:textId="77777777" w:rsidR="0044568E" w:rsidRDefault="0044568E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8A733DC" w14:textId="4DA376E2" w:rsidR="00F43F4E" w:rsidRDefault="00C04912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1280 includes a legislative finding tha</w:t>
            </w:r>
            <w:r>
              <w:t xml:space="preserve">t the State of Texas never repealed state statutes enacted before the ruling issued by the U.S. Supreme Court in </w:t>
            </w:r>
            <w:r>
              <w:rPr>
                <w:i/>
              </w:rPr>
              <w:t>Roe v. Wade</w:t>
            </w:r>
            <w:r>
              <w:t xml:space="preserve"> that prohibit and criminalize abortion unless the mother's life is in danger.</w:t>
            </w:r>
          </w:p>
          <w:p w14:paraId="717D7B26" w14:textId="77777777" w:rsidR="002E0B91" w:rsidRDefault="002E0B91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5EA6726" w14:textId="04E4DB1F" w:rsidR="00BD4950" w:rsidRDefault="00C04912" w:rsidP="00E71BBA">
            <w:pPr>
              <w:pStyle w:val="Header"/>
              <w:jc w:val="both"/>
            </w:pPr>
            <w:r>
              <w:t>C.S.</w:t>
            </w:r>
            <w:r w:rsidR="007B4BF2">
              <w:t xml:space="preserve">H.B. </w:t>
            </w:r>
            <w:r>
              <w:t>1280 takes effect</w:t>
            </w:r>
            <w:r>
              <w:t xml:space="preserve">, to the extent permitted, on the 30th day after one of the following: </w:t>
            </w:r>
          </w:p>
          <w:p w14:paraId="3C8410DF" w14:textId="78320CEB" w:rsidR="00BD4950" w:rsidRDefault="00C04912" w:rsidP="00E71BB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issuance of a U.S. Supreme Court judgment</w:t>
            </w:r>
            <w:r w:rsidR="00F75383">
              <w:t xml:space="preserve"> in a decision</w:t>
            </w:r>
            <w:r>
              <w:t xml:space="preserve"> overruling, wholly or partly, </w:t>
            </w:r>
            <w:r w:rsidRPr="008868D7">
              <w:rPr>
                <w:i/>
              </w:rPr>
              <w:t>Roe v. Wade</w:t>
            </w:r>
            <w:r>
              <w:t xml:space="preserve">, thereby allowing the states to prohibit abortion; </w:t>
            </w:r>
          </w:p>
          <w:p w14:paraId="3187FC6D" w14:textId="05F2F257" w:rsidR="00BD4950" w:rsidRDefault="00C04912" w:rsidP="00E71BB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issuance of any other U.S.</w:t>
            </w:r>
            <w:r>
              <w:t xml:space="preserve"> Supreme Court </w:t>
            </w:r>
            <w:r w:rsidR="00F75383">
              <w:t xml:space="preserve">judgment in a </w:t>
            </w:r>
            <w:r>
              <w:t xml:space="preserve">decision that recognizes, wholly or partly, the authority of the states to prohibit abortion; or </w:t>
            </w:r>
          </w:p>
          <w:p w14:paraId="342E6656" w14:textId="1314A454" w:rsidR="00A67421" w:rsidRDefault="00C04912" w:rsidP="00E71BB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adoption of an amendment to the U.S. Constitution that, wholly or partly, restores to the states the authority to prohibit ab</w:t>
            </w:r>
            <w:r>
              <w:t>ortion.</w:t>
            </w:r>
          </w:p>
          <w:p w14:paraId="377B5547" w14:textId="77777777" w:rsidR="000B14E2" w:rsidRDefault="000B14E2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B725999" w14:textId="612D830F" w:rsidR="006D6664" w:rsidRDefault="00C04912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1280 defines "abortion" by reference to Health and Safety Code provisions and provides for the meaning of the following terms: "fertilization," "pregnant," "reasonable medical judgment," and "unborn child."</w:t>
            </w:r>
          </w:p>
          <w:p w14:paraId="21ACEC38" w14:textId="77777777" w:rsidR="006D6664" w:rsidRDefault="006D6664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F36DB9" w14:textId="6B26B1A1" w:rsidR="00162524" w:rsidRDefault="00C04912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1280 declares its </w:t>
            </w:r>
            <w:r>
              <w:t>provisions to be severable. I</w:t>
            </w:r>
            <w:r w:rsidRPr="006D6664">
              <w:t xml:space="preserve">f any provision of </w:t>
            </w:r>
            <w:r>
              <w:t>the bill</w:t>
            </w:r>
            <w:r w:rsidRPr="006D6664">
              <w:t xml:space="preserve"> or the application of such provision to any person or circumstance is declared invalid for any reason, such declaration </w:t>
            </w:r>
            <w:r>
              <w:t>does</w:t>
            </w:r>
            <w:r w:rsidRPr="006D6664">
              <w:t xml:space="preserve"> not affect the validity of the remaining portions</w:t>
            </w:r>
            <w:r>
              <w:t xml:space="preserve"> of the bill.</w:t>
            </w:r>
          </w:p>
          <w:p w14:paraId="140D05AF" w14:textId="7241F8D1" w:rsidR="00162524" w:rsidRPr="00FB69FD" w:rsidRDefault="00162524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E498F" w14:paraId="2992F46F" w14:textId="77777777" w:rsidTr="00E63644">
        <w:tc>
          <w:tcPr>
            <w:tcW w:w="9360" w:type="dxa"/>
          </w:tcPr>
          <w:p w14:paraId="583EC861" w14:textId="77777777" w:rsidR="008423E4" w:rsidRPr="00A8133F" w:rsidRDefault="00C04912" w:rsidP="00E71B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14:paraId="7B9A2752" w14:textId="77777777" w:rsidR="008423E4" w:rsidRDefault="008423E4" w:rsidP="00E71BBA"/>
          <w:p w14:paraId="6D14C5DC" w14:textId="77777777" w:rsidR="008423E4" w:rsidRDefault="00C04912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3E37F2E" w14:textId="797087C0" w:rsidR="00994719" w:rsidRPr="007A79AA" w:rsidRDefault="00994719" w:rsidP="00E71B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E498F" w14:paraId="04F285A6" w14:textId="77777777" w:rsidTr="00E63644">
        <w:tc>
          <w:tcPr>
            <w:tcW w:w="9360" w:type="dxa"/>
          </w:tcPr>
          <w:p w14:paraId="6AA24B04" w14:textId="77777777" w:rsidR="00D73C9A" w:rsidRDefault="00C04912" w:rsidP="00D73C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68C06ED" w14:textId="41B22781" w:rsidR="000B14E2" w:rsidRPr="00D73C9A" w:rsidRDefault="000B14E2" w:rsidP="00D73C9A">
            <w:pPr>
              <w:jc w:val="both"/>
              <w:rPr>
                <w:b/>
                <w:u w:val="single"/>
              </w:rPr>
            </w:pPr>
          </w:p>
        </w:tc>
      </w:tr>
      <w:tr w:rsidR="00EE498F" w14:paraId="50266471" w14:textId="77777777" w:rsidTr="00E63644">
        <w:tc>
          <w:tcPr>
            <w:tcW w:w="9360" w:type="dxa"/>
          </w:tcPr>
          <w:p w14:paraId="300EE096" w14:textId="4A984301" w:rsidR="00C6371A" w:rsidRDefault="00C04912" w:rsidP="00043DCF">
            <w:pPr>
              <w:jc w:val="both"/>
            </w:pPr>
            <w:r>
              <w:t xml:space="preserve">While C.S.H.B. 1280 may differ from the original in minor or nonsubstantive ways, the following summarizes the substantial differences between the introduced and committee substitute </w:t>
            </w:r>
            <w:r>
              <w:t>versions of the bill.</w:t>
            </w:r>
          </w:p>
          <w:p w14:paraId="5FE52D50" w14:textId="76394E24" w:rsidR="00C6371A" w:rsidRDefault="00C6371A" w:rsidP="00043DCF">
            <w:pPr>
              <w:jc w:val="both"/>
            </w:pPr>
          </w:p>
          <w:p w14:paraId="0F77AD6C" w14:textId="64A0060B" w:rsidR="00C6371A" w:rsidRDefault="00C04912" w:rsidP="00043DCF">
            <w:pPr>
              <w:jc w:val="both"/>
            </w:pPr>
            <w:r>
              <w:t xml:space="preserve">With respect to the provision providing for the bill's effect on the 30th day after the issuance of a U.S. Supreme Court judgment in a decision overruling, wholly or partly, </w:t>
            </w:r>
            <w:r w:rsidRPr="008868D7">
              <w:rPr>
                <w:i/>
              </w:rPr>
              <w:t>Roe v. Wade</w:t>
            </w:r>
            <w:r>
              <w:t>, thereby allowing the states to prohibit aborti</w:t>
            </w:r>
            <w:r>
              <w:t>on, the substitute adds a reference to judgment "in a decision" not included in the original.</w:t>
            </w:r>
          </w:p>
          <w:p w14:paraId="5E4F0B47" w14:textId="38289A02" w:rsidR="00084AAF" w:rsidRDefault="00084AAF" w:rsidP="00043DCF">
            <w:pPr>
              <w:jc w:val="both"/>
            </w:pPr>
          </w:p>
          <w:p w14:paraId="12E55F68" w14:textId="53AF1E03" w:rsidR="003E4CDF" w:rsidRPr="00084AAF" w:rsidRDefault="00C04912" w:rsidP="00043DCF">
            <w:pPr>
              <w:jc w:val="both"/>
            </w:pPr>
            <w:r>
              <w:t>With respect to the provision providing for the bill's effect on the 30th day after the issuance of any other U.S. Supreme Court judgment in a decision that reco</w:t>
            </w:r>
            <w:r>
              <w:t xml:space="preserve">gnizes, wholly or partly, the authority of the states to prohibit abortion, the substitute adds a reference to a U.S. Supreme Court "judgment in" such a decision not included in the original. </w:t>
            </w:r>
          </w:p>
          <w:p w14:paraId="780176D0" w14:textId="77777777" w:rsidR="00C6371A" w:rsidRDefault="00C6371A" w:rsidP="00043DCF">
            <w:pPr>
              <w:jc w:val="both"/>
            </w:pPr>
          </w:p>
          <w:p w14:paraId="4A198594" w14:textId="5C1F72EE" w:rsidR="007D474A" w:rsidRPr="009C1E9A" w:rsidRDefault="00C04912" w:rsidP="0021727A">
            <w:pPr>
              <w:jc w:val="both"/>
              <w:rPr>
                <w:b/>
                <w:u w:val="single"/>
              </w:rPr>
            </w:pPr>
            <w:r>
              <w:t>The substitute includes a legislative finding not in</w:t>
            </w:r>
            <w:r w:rsidR="003E4CDF">
              <w:t>cluded in</w:t>
            </w:r>
            <w:r>
              <w:t xml:space="preserve"> </w:t>
            </w:r>
            <w:r>
              <w:t>the original</w:t>
            </w:r>
            <w:r w:rsidR="003E4CDF">
              <w:t xml:space="preserve"> relating to </w:t>
            </w:r>
            <w:r w:rsidR="00E63644">
              <w:t xml:space="preserve">statutes enacted before the ruling issued by the U.S. Supreme Court in </w:t>
            </w:r>
            <w:r w:rsidR="00E63644">
              <w:rPr>
                <w:i/>
              </w:rPr>
              <w:t>Roe v. Wade</w:t>
            </w:r>
            <w:r w:rsidR="00E63644">
              <w:t xml:space="preserve"> that were never repealed</w:t>
            </w:r>
            <w:r w:rsidR="00B17DB4">
              <w:t>, either expressly or by implication, that prohibit and criminalize abortion unless the mother's life is in danger</w:t>
            </w:r>
            <w:r w:rsidR="00E63644">
              <w:t>.</w:t>
            </w:r>
          </w:p>
        </w:tc>
      </w:tr>
    </w:tbl>
    <w:p w14:paraId="012FFA08" w14:textId="77777777" w:rsidR="004108C3" w:rsidRPr="00E63644" w:rsidRDefault="004108C3" w:rsidP="00E63644">
      <w:pPr>
        <w:rPr>
          <w:sz w:val="2"/>
          <w:szCs w:val="2"/>
        </w:rPr>
      </w:pPr>
    </w:p>
    <w:sectPr w:rsidR="004108C3" w:rsidRPr="00E6364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CF73" w14:textId="77777777" w:rsidR="00000000" w:rsidRDefault="00C04912">
      <w:r>
        <w:separator/>
      </w:r>
    </w:p>
  </w:endnote>
  <w:endnote w:type="continuationSeparator" w:id="0">
    <w:p w14:paraId="7436D10C" w14:textId="77777777" w:rsidR="00000000" w:rsidRDefault="00C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DBD3" w14:textId="77777777" w:rsidR="0021727A" w:rsidRDefault="0021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498F" w14:paraId="170C4C62" w14:textId="77777777" w:rsidTr="009C1E9A">
      <w:trPr>
        <w:cantSplit/>
      </w:trPr>
      <w:tc>
        <w:tcPr>
          <w:tcW w:w="0" w:type="pct"/>
        </w:tcPr>
        <w:p w14:paraId="3DD9B7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744E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F6A22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B6D8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9E90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98F" w14:paraId="5C0A79E2" w14:textId="77777777" w:rsidTr="009C1E9A">
      <w:trPr>
        <w:cantSplit/>
      </w:trPr>
      <w:tc>
        <w:tcPr>
          <w:tcW w:w="0" w:type="pct"/>
        </w:tcPr>
        <w:p w14:paraId="4DDB11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49F379" w14:textId="0D685F64" w:rsidR="00EC379B" w:rsidRPr="009C1E9A" w:rsidRDefault="00C049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22589</w:t>
          </w:r>
        </w:p>
      </w:tc>
      <w:tc>
        <w:tcPr>
          <w:tcW w:w="2453" w:type="pct"/>
        </w:tcPr>
        <w:p w14:paraId="780E6A21" w14:textId="62C79C39" w:rsidR="00EC379B" w:rsidRDefault="00C049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F72F1">
            <w:t>21.113.895</w:t>
          </w:r>
          <w:r>
            <w:fldChar w:fldCharType="end"/>
          </w:r>
        </w:p>
      </w:tc>
    </w:tr>
    <w:tr w:rsidR="00EE498F" w14:paraId="2FA836A1" w14:textId="77777777" w:rsidTr="009C1E9A">
      <w:trPr>
        <w:cantSplit/>
      </w:trPr>
      <w:tc>
        <w:tcPr>
          <w:tcW w:w="0" w:type="pct"/>
        </w:tcPr>
        <w:p w14:paraId="18F2C3B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44B43E9" w14:textId="4B3E4AD8" w:rsidR="00EC379B" w:rsidRPr="009C1E9A" w:rsidRDefault="00C049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19538</w:t>
          </w:r>
        </w:p>
      </w:tc>
      <w:tc>
        <w:tcPr>
          <w:tcW w:w="2453" w:type="pct"/>
        </w:tcPr>
        <w:p w14:paraId="467901D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4921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98F" w14:paraId="7D5414C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447FAD" w14:textId="03C38DD1" w:rsidR="00EC379B" w:rsidRDefault="00C049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F72F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5E2EA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DAEC28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6E38" w14:textId="77777777" w:rsidR="0021727A" w:rsidRDefault="0021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C9E63" w14:textId="77777777" w:rsidR="00000000" w:rsidRDefault="00C04912">
      <w:r>
        <w:separator/>
      </w:r>
    </w:p>
  </w:footnote>
  <w:footnote w:type="continuationSeparator" w:id="0">
    <w:p w14:paraId="56A01896" w14:textId="77777777" w:rsidR="00000000" w:rsidRDefault="00C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BEBE" w14:textId="77777777" w:rsidR="0021727A" w:rsidRDefault="0021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3EFA" w14:textId="77777777" w:rsidR="0021727A" w:rsidRDefault="00217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0042" w14:textId="77777777" w:rsidR="0021727A" w:rsidRDefault="00217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4A1D"/>
    <w:multiLevelType w:val="hybridMultilevel"/>
    <w:tmpl w:val="F2EE421C"/>
    <w:lvl w:ilvl="0" w:tplc="75443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1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62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CD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E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23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43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E5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61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20CA5"/>
    <w:multiLevelType w:val="hybridMultilevel"/>
    <w:tmpl w:val="AE602C68"/>
    <w:lvl w:ilvl="0" w:tplc="80281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A7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8D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A9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68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A8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87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88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A8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6C"/>
    <w:rsid w:val="00000A70"/>
    <w:rsid w:val="000032B8"/>
    <w:rsid w:val="00003B06"/>
    <w:rsid w:val="0000525E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0E0"/>
    <w:rsid w:val="00043B84"/>
    <w:rsid w:val="00043DCF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3EC"/>
    <w:rsid w:val="00073914"/>
    <w:rsid w:val="00074236"/>
    <w:rsid w:val="000746BD"/>
    <w:rsid w:val="00076D7D"/>
    <w:rsid w:val="00080D95"/>
    <w:rsid w:val="00084AAF"/>
    <w:rsid w:val="00090E6B"/>
    <w:rsid w:val="00091B2C"/>
    <w:rsid w:val="00092ABC"/>
    <w:rsid w:val="00097AAF"/>
    <w:rsid w:val="00097D13"/>
    <w:rsid w:val="000A4893"/>
    <w:rsid w:val="000A54E0"/>
    <w:rsid w:val="000A5D87"/>
    <w:rsid w:val="000A72C4"/>
    <w:rsid w:val="000B1486"/>
    <w:rsid w:val="000B14E2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767"/>
    <w:rsid w:val="000E5B20"/>
    <w:rsid w:val="000E7C14"/>
    <w:rsid w:val="000F094C"/>
    <w:rsid w:val="000F18A2"/>
    <w:rsid w:val="000F2A7F"/>
    <w:rsid w:val="000F3C97"/>
    <w:rsid w:val="000F3DBD"/>
    <w:rsid w:val="000F5843"/>
    <w:rsid w:val="000F6A06"/>
    <w:rsid w:val="000F72F1"/>
    <w:rsid w:val="0010072E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69D"/>
    <w:rsid w:val="0012371B"/>
    <w:rsid w:val="001245C8"/>
    <w:rsid w:val="00124653"/>
    <w:rsid w:val="001247C5"/>
    <w:rsid w:val="00127893"/>
    <w:rsid w:val="001312BB"/>
    <w:rsid w:val="001317B4"/>
    <w:rsid w:val="00132CFF"/>
    <w:rsid w:val="0013799C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524"/>
    <w:rsid w:val="00162C7A"/>
    <w:rsid w:val="00162DAE"/>
    <w:rsid w:val="001639C5"/>
    <w:rsid w:val="00163E45"/>
    <w:rsid w:val="001664C2"/>
    <w:rsid w:val="00171BF2"/>
    <w:rsid w:val="00172511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C05"/>
    <w:rsid w:val="001E2CAD"/>
    <w:rsid w:val="001E34DB"/>
    <w:rsid w:val="001E37CD"/>
    <w:rsid w:val="001E4070"/>
    <w:rsid w:val="001E48B6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27A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C40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D1A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B91"/>
    <w:rsid w:val="002E21B8"/>
    <w:rsid w:val="002E7DF9"/>
    <w:rsid w:val="002F097B"/>
    <w:rsid w:val="002F3111"/>
    <w:rsid w:val="002F4AEC"/>
    <w:rsid w:val="002F795D"/>
    <w:rsid w:val="00300823"/>
    <w:rsid w:val="00300C5C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E10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F11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1A3"/>
    <w:rsid w:val="00370155"/>
    <w:rsid w:val="003712D5"/>
    <w:rsid w:val="003747DF"/>
    <w:rsid w:val="00377E3D"/>
    <w:rsid w:val="00383045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4CDF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68E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7F8"/>
    <w:rsid w:val="0047180E"/>
    <w:rsid w:val="00474927"/>
    <w:rsid w:val="00475913"/>
    <w:rsid w:val="00480080"/>
    <w:rsid w:val="0048081F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C44"/>
    <w:rsid w:val="004C5F34"/>
    <w:rsid w:val="004C600C"/>
    <w:rsid w:val="004C7888"/>
    <w:rsid w:val="004D1AC9"/>
    <w:rsid w:val="004D27DE"/>
    <w:rsid w:val="004D3F41"/>
    <w:rsid w:val="004D5098"/>
    <w:rsid w:val="004D6497"/>
    <w:rsid w:val="004D7C78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264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B0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D73"/>
    <w:rsid w:val="00617411"/>
    <w:rsid w:val="006249CB"/>
    <w:rsid w:val="00626EBC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664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C35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2B1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9AA"/>
    <w:rsid w:val="007A7EC1"/>
    <w:rsid w:val="007B4BF2"/>
    <w:rsid w:val="007B4FCA"/>
    <w:rsid w:val="007B7B85"/>
    <w:rsid w:val="007C108F"/>
    <w:rsid w:val="007C462E"/>
    <w:rsid w:val="007C496B"/>
    <w:rsid w:val="007C6803"/>
    <w:rsid w:val="007D2892"/>
    <w:rsid w:val="007D2DCC"/>
    <w:rsid w:val="007D474A"/>
    <w:rsid w:val="007D47E1"/>
    <w:rsid w:val="007D7FCB"/>
    <w:rsid w:val="007E33B6"/>
    <w:rsid w:val="007E59E8"/>
    <w:rsid w:val="007F0C49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085"/>
    <w:rsid w:val="008531A1"/>
    <w:rsid w:val="00853A94"/>
    <w:rsid w:val="008547A3"/>
    <w:rsid w:val="0085797D"/>
    <w:rsid w:val="00860020"/>
    <w:rsid w:val="008618E7"/>
    <w:rsid w:val="00861995"/>
    <w:rsid w:val="0086231A"/>
    <w:rsid w:val="008639A6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ECB"/>
    <w:rsid w:val="008861EE"/>
    <w:rsid w:val="008868D7"/>
    <w:rsid w:val="00890B59"/>
    <w:rsid w:val="008930D7"/>
    <w:rsid w:val="008947A7"/>
    <w:rsid w:val="00897E80"/>
    <w:rsid w:val="008A04FA"/>
    <w:rsid w:val="008A3188"/>
    <w:rsid w:val="008A3B28"/>
    <w:rsid w:val="008A3FDF"/>
    <w:rsid w:val="008A6418"/>
    <w:rsid w:val="008B05D8"/>
    <w:rsid w:val="008B0B3D"/>
    <w:rsid w:val="008B21DA"/>
    <w:rsid w:val="008B2B1A"/>
    <w:rsid w:val="008B3428"/>
    <w:rsid w:val="008B7785"/>
    <w:rsid w:val="008C0809"/>
    <w:rsid w:val="008C132C"/>
    <w:rsid w:val="008C3FD0"/>
    <w:rsid w:val="008D0DF8"/>
    <w:rsid w:val="008D27A5"/>
    <w:rsid w:val="008D2AAB"/>
    <w:rsid w:val="008D309C"/>
    <w:rsid w:val="008D58F9"/>
    <w:rsid w:val="008E3338"/>
    <w:rsid w:val="008E47BE"/>
    <w:rsid w:val="008E6FEF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274"/>
    <w:rsid w:val="00953499"/>
    <w:rsid w:val="00954A16"/>
    <w:rsid w:val="0095696D"/>
    <w:rsid w:val="00962237"/>
    <w:rsid w:val="0096482F"/>
    <w:rsid w:val="00964E3A"/>
    <w:rsid w:val="00967126"/>
    <w:rsid w:val="00970EAE"/>
    <w:rsid w:val="00971235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719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BD8"/>
    <w:rsid w:val="00A0042D"/>
    <w:rsid w:val="00A0053A"/>
    <w:rsid w:val="00A00C33"/>
    <w:rsid w:val="00A01103"/>
    <w:rsid w:val="00A012C0"/>
    <w:rsid w:val="00A014BB"/>
    <w:rsid w:val="00A014C6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FEC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FB6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421"/>
    <w:rsid w:val="00A70E35"/>
    <w:rsid w:val="00A71F67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A61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AE2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17C71"/>
    <w:rsid w:val="00B17DB4"/>
    <w:rsid w:val="00B233BB"/>
    <w:rsid w:val="00B25612"/>
    <w:rsid w:val="00B26437"/>
    <w:rsid w:val="00B2678E"/>
    <w:rsid w:val="00B30647"/>
    <w:rsid w:val="00B31F0E"/>
    <w:rsid w:val="00B33666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F2C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E6C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950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12"/>
    <w:rsid w:val="00C0499B"/>
    <w:rsid w:val="00C05406"/>
    <w:rsid w:val="00C05CF0"/>
    <w:rsid w:val="00C0739B"/>
    <w:rsid w:val="00C119AC"/>
    <w:rsid w:val="00C14EE6"/>
    <w:rsid w:val="00C151DA"/>
    <w:rsid w:val="00C152A1"/>
    <w:rsid w:val="00C16CCB"/>
    <w:rsid w:val="00C212A9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E49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71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95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376"/>
    <w:rsid w:val="00D66BA6"/>
    <w:rsid w:val="00D700B1"/>
    <w:rsid w:val="00D730FA"/>
    <w:rsid w:val="00D73C9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B81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6E1D"/>
    <w:rsid w:val="00DC7545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6CC2"/>
    <w:rsid w:val="00E0752B"/>
    <w:rsid w:val="00E1228E"/>
    <w:rsid w:val="00E13374"/>
    <w:rsid w:val="00E14079"/>
    <w:rsid w:val="00E15F90"/>
    <w:rsid w:val="00E16D3E"/>
    <w:rsid w:val="00E17167"/>
    <w:rsid w:val="00E20520"/>
    <w:rsid w:val="00E21CCF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644"/>
    <w:rsid w:val="00E667F3"/>
    <w:rsid w:val="00E67794"/>
    <w:rsid w:val="00E70CC6"/>
    <w:rsid w:val="00E71254"/>
    <w:rsid w:val="00E71BBA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510"/>
    <w:rsid w:val="00EE2E34"/>
    <w:rsid w:val="00EE2E91"/>
    <w:rsid w:val="00EE43A2"/>
    <w:rsid w:val="00EE46B7"/>
    <w:rsid w:val="00EE498F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8BA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F4E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383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9FD"/>
    <w:rsid w:val="00FB73AE"/>
    <w:rsid w:val="00FC5388"/>
    <w:rsid w:val="00FC726C"/>
    <w:rsid w:val="00FD1B4B"/>
    <w:rsid w:val="00FD1B94"/>
    <w:rsid w:val="00FE19C5"/>
    <w:rsid w:val="00FE4286"/>
    <w:rsid w:val="00FE48C3"/>
    <w:rsid w:val="00FE51B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3E5FEA-D36C-42EE-96A7-4CB693B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30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3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30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3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30E0"/>
    <w:rPr>
      <w:b/>
      <w:bCs/>
    </w:rPr>
  </w:style>
  <w:style w:type="character" w:styleId="Hyperlink">
    <w:name w:val="Hyperlink"/>
    <w:basedOn w:val="DefaultParagraphFont"/>
    <w:unhideWhenUsed/>
    <w:rsid w:val="008A3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5874</Characters>
  <Application>Microsoft Office Word</Application>
  <DocSecurity>4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HB01280 (Committee Report (Substituted))</vt:lpstr>
    </vt:vector>
  </TitlesOfParts>
  <Company>State of Texas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22589</dc:subject>
  <dc:creator>State of Texas</dc:creator>
  <dc:description>HB 1280 by Capriglione-(H)Public Health (Substitute Document Number: 87R 19538)</dc:description>
  <cp:lastModifiedBy>Stacey Nicchio</cp:lastModifiedBy>
  <cp:revision>2</cp:revision>
  <cp:lastPrinted>2003-11-26T17:21:00Z</cp:lastPrinted>
  <dcterms:created xsi:type="dcterms:W3CDTF">2021-04-23T20:51:00Z</dcterms:created>
  <dcterms:modified xsi:type="dcterms:W3CDTF">2021-04-23T20:51:00Z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21.113.895</vt:lpwstr>
  </property>
</Properties>
</file>