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6B605A" w14:paraId="5D1DB747" w14:textId="77777777" w:rsidTr="00345119">
        <w:tc>
          <w:tcPr>
            <w:tcW w:w="9576" w:type="dxa"/>
            <w:noWrap/>
          </w:tcPr>
          <w:p w14:paraId="6B9C0FF9" w14:textId="77777777" w:rsidR="008423E4" w:rsidRPr="0022177D" w:rsidRDefault="00793218" w:rsidP="00AA49BB">
            <w:pPr>
              <w:pStyle w:val="Heading1"/>
            </w:pPr>
            <w:bookmarkStart w:id="0" w:name="_GoBack"/>
            <w:bookmarkEnd w:id="0"/>
            <w:r w:rsidRPr="00631897">
              <w:t>BILL ANALYSIS</w:t>
            </w:r>
          </w:p>
        </w:tc>
      </w:tr>
    </w:tbl>
    <w:p w14:paraId="580CF988" w14:textId="77777777" w:rsidR="008423E4" w:rsidRPr="0022177D" w:rsidRDefault="008423E4" w:rsidP="00AA49BB">
      <w:pPr>
        <w:jc w:val="center"/>
      </w:pPr>
    </w:p>
    <w:p w14:paraId="04CDAEFA" w14:textId="77777777" w:rsidR="008423E4" w:rsidRPr="00B31F0E" w:rsidRDefault="008423E4" w:rsidP="00AA49BB"/>
    <w:p w14:paraId="61BE54C1" w14:textId="77777777" w:rsidR="008423E4" w:rsidRPr="00742794" w:rsidRDefault="008423E4" w:rsidP="00AA49BB">
      <w:pPr>
        <w:tabs>
          <w:tab w:val="right" w:pos="9360"/>
        </w:tabs>
      </w:pPr>
    </w:p>
    <w:tbl>
      <w:tblPr>
        <w:tblW w:w="0" w:type="auto"/>
        <w:tblLayout w:type="fixed"/>
        <w:tblLook w:val="01E0" w:firstRow="1" w:lastRow="1" w:firstColumn="1" w:lastColumn="1" w:noHBand="0" w:noVBand="0"/>
      </w:tblPr>
      <w:tblGrid>
        <w:gridCol w:w="9576"/>
      </w:tblGrid>
      <w:tr w:rsidR="006B605A" w14:paraId="1FBE9163" w14:textId="77777777" w:rsidTr="00345119">
        <w:tc>
          <w:tcPr>
            <w:tcW w:w="9576" w:type="dxa"/>
          </w:tcPr>
          <w:p w14:paraId="5DC66932" w14:textId="77777777" w:rsidR="008423E4" w:rsidRPr="00861995" w:rsidRDefault="00793218" w:rsidP="00AA49BB">
            <w:pPr>
              <w:jc w:val="right"/>
            </w:pPr>
            <w:r>
              <w:t>C.S.H.B. 1284</w:t>
            </w:r>
          </w:p>
        </w:tc>
      </w:tr>
      <w:tr w:rsidR="006B605A" w14:paraId="583DF1EB" w14:textId="77777777" w:rsidTr="00345119">
        <w:tc>
          <w:tcPr>
            <w:tcW w:w="9576" w:type="dxa"/>
          </w:tcPr>
          <w:p w14:paraId="6CDC3DDB" w14:textId="77777777" w:rsidR="008423E4" w:rsidRPr="00861995" w:rsidRDefault="00793218" w:rsidP="00AA49BB">
            <w:pPr>
              <w:jc w:val="right"/>
            </w:pPr>
            <w:r>
              <w:t xml:space="preserve">By: </w:t>
            </w:r>
            <w:r w:rsidR="00FE73EE">
              <w:t>Paddie</w:t>
            </w:r>
          </w:p>
        </w:tc>
      </w:tr>
      <w:tr w:rsidR="006B605A" w14:paraId="72AB77C0" w14:textId="77777777" w:rsidTr="00345119">
        <w:tc>
          <w:tcPr>
            <w:tcW w:w="9576" w:type="dxa"/>
          </w:tcPr>
          <w:p w14:paraId="5B76ABD9" w14:textId="77777777" w:rsidR="008423E4" w:rsidRPr="00861995" w:rsidRDefault="00793218" w:rsidP="00AA49BB">
            <w:pPr>
              <w:jc w:val="right"/>
            </w:pPr>
            <w:r>
              <w:t>Energy Resources</w:t>
            </w:r>
          </w:p>
        </w:tc>
      </w:tr>
      <w:tr w:rsidR="006B605A" w14:paraId="11DB87A3" w14:textId="77777777" w:rsidTr="00345119">
        <w:tc>
          <w:tcPr>
            <w:tcW w:w="9576" w:type="dxa"/>
          </w:tcPr>
          <w:p w14:paraId="371DEB60" w14:textId="77777777" w:rsidR="008423E4" w:rsidRDefault="00793218" w:rsidP="00AA49BB">
            <w:pPr>
              <w:jc w:val="right"/>
            </w:pPr>
            <w:r>
              <w:t>Committee Report (Substituted)</w:t>
            </w:r>
          </w:p>
        </w:tc>
      </w:tr>
    </w:tbl>
    <w:p w14:paraId="2DEF2FD0" w14:textId="77777777" w:rsidR="008423E4" w:rsidRDefault="008423E4" w:rsidP="00AA49BB">
      <w:pPr>
        <w:tabs>
          <w:tab w:val="right" w:pos="9360"/>
        </w:tabs>
      </w:pPr>
    </w:p>
    <w:p w14:paraId="4C0A0FDC" w14:textId="77777777" w:rsidR="008423E4" w:rsidRDefault="008423E4" w:rsidP="00AA49BB"/>
    <w:p w14:paraId="390F47D5" w14:textId="77777777" w:rsidR="008423E4" w:rsidRDefault="008423E4" w:rsidP="00AA49BB"/>
    <w:tbl>
      <w:tblPr>
        <w:tblW w:w="0" w:type="auto"/>
        <w:tblCellMar>
          <w:left w:w="115" w:type="dxa"/>
          <w:right w:w="115" w:type="dxa"/>
        </w:tblCellMar>
        <w:tblLook w:val="01E0" w:firstRow="1" w:lastRow="1" w:firstColumn="1" w:lastColumn="1" w:noHBand="0" w:noVBand="0"/>
      </w:tblPr>
      <w:tblGrid>
        <w:gridCol w:w="9360"/>
      </w:tblGrid>
      <w:tr w:rsidR="006B605A" w14:paraId="3EE888B2" w14:textId="77777777" w:rsidTr="00345119">
        <w:tc>
          <w:tcPr>
            <w:tcW w:w="9576" w:type="dxa"/>
          </w:tcPr>
          <w:p w14:paraId="1A439936" w14:textId="77777777" w:rsidR="008423E4" w:rsidRPr="00A8133F" w:rsidRDefault="00793218" w:rsidP="00AA49BB">
            <w:pPr>
              <w:rPr>
                <w:b/>
              </w:rPr>
            </w:pPr>
            <w:r w:rsidRPr="009C1E9A">
              <w:rPr>
                <w:b/>
                <w:u w:val="single"/>
              </w:rPr>
              <w:t>BACKGROUND AND PURPOSE</w:t>
            </w:r>
            <w:r>
              <w:rPr>
                <w:b/>
              </w:rPr>
              <w:t xml:space="preserve"> </w:t>
            </w:r>
          </w:p>
          <w:p w14:paraId="2E59767F" w14:textId="77777777" w:rsidR="008423E4" w:rsidRDefault="008423E4" w:rsidP="00AA49BB"/>
          <w:p w14:paraId="36EE45B4" w14:textId="49C3F273" w:rsidR="006B3927" w:rsidRDefault="00793218" w:rsidP="00AA49BB">
            <w:pPr>
              <w:pStyle w:val="Header"/>
              <w:tabs>
                <w:tab w:val="clear" w:pos="4320"/>
                <w:tab w:val="clear" w:pos="8640"/>
              </w:tabs>
              <w:jc w:val="both"/>
            </w:pPr>
            <w:r w:rsidRPr="006B3927">
              <w:t xml:space="preserve">Class VI </w:t>
            </w:r>
            <w:r w:rsidR="00F334C4">
              <w:t>u</w:t>
            </w:r>
            <w:r w:rsidRPr="006B3927">
              <w:t xml:space="preserve">nderground </w:t>
            </w:r>
            <w:r w:rsidR="00F334C4">
              <w:t>i</w:t>
            </w:r>
            <w:r w:rsidRPr="006B3927">
              <w:t xml:space="preserve">njection </w:t>
            </w:r>
            <w:r w:rsidR="00F334C4">
              <w:t>c</w:t>
            </w:r>
            <w:r w:rsidRPr="006B3927">
              <w:t>ontrol (UIC) wells are authorized under the federal Safe Drinking Water Act and</w:t>
            </w:r>
            <w:r w:rsidR="00F334C4">
              <w:t xml:space="preserve"> are</w:t>
            </w:r>
            <w:r w:rsidRPr="006B3927">
              <w:t xml:space="preserve"> used to inject anthropogenic</w:t>
            </w:r>
            <w:r w:rsidR="00F334C4">
              <w:t>,</w:t>
            </w:r>
            <w:r w:rsidR="00352EE2">
              <w:t xml:space="preserve"> or</w:t>
            </w:r>
            <w:r w:rsidRPr="006B3927">
              <w:t xml:space="preserve"> man-made</w:t>
            </w:r>
            <w:r w:rsidR="00F334C4">
              <w:t>,</w:t>
            </w:r>
            <w:r w:rsidRPr="006B3927">
              <w:t xml:space="preserve"> carbon dioxide (CO2) into deep rock formations for geologic sequestration and storage. Owners and operators of </w:t>
            </w:r>
            <w:r w:rsidR="00F334C4">
              <w:t>these</w:t>
            </w:r>
            <w:r w:rsidRPr="006B3927">
              <w:t xml:space="preserve"> wells must first obtain a permit from EPA</w:t>
            </w:r>
            <w:r w:rsidR="0008305F">
              <w:t xml:space="preserve"> </w:t>
            </w:r>
            <w:r w:rsidRPr="006B3927">
              <w:t>in order to inject and store anthropogenic CO2, unles</w:t>
            </w:r>
            <w:r w:rsidRPr="006B3927">
              <w:t xml:space="preserve">s EPA has delegated permitting jurisdiction, known as </w:t>
            </w:r>
            <w:r w:rsidR="00E4073F">
              <w:t>"</w:t>
            </w:r>
            <w:r w:rsidRPr="006B3927">
              <w:t>primacy,</w:t>
            </w:r>
            <w:r w:rsidR="00E4073F">
              <w:t>"</w:t>
            </w:r>
            <w:r w:rsidRPr="006B3927">
              <w:t xml:space="preserve"> to a state to issue such permits. Texas has primacy over the permitting of all other classes of UIC wells, but not over Class VI wells. Current state statute splits jurisdiction over Class VI</w:t>
            </w:r>
            <w:r w:rsidRPr="006B3927">
              <w:t xml:space="preserve"> wells between the Railroad Commission</w:t>
            </w:r>
            <w:r w:rsidR="00352EE2">
              <w:t xml:space="preserve"> of Texas</w:t>
            </w:r>
            <w:r w:rsidR="007A59CC">
              <w:t xml:space="preserve"> (RRC)</w:t>
            </w:r>
            <w:r w:rsidRPr="006B3927">
              <w:t xml:space="preserve"> and the Texas Commission on Environmental Quality, depending on the type of project for which the well is being used to inject and store CO2. This split jurisdiction between the two agencies makes it cu</w:t>
            </w:r>
            <w:r w:rsidRPr="006B3927">
              <w:t xml:space="preserve">mbersome for </w:t>
            </w:r>
            <w:r w:rsidR="00352EE2">
              <w:t>the state</w:t>
            </w:r>
            <w:r w:rsidRPr="006B3927">
              <w:t xml:space="preserve"> to apply to EPA for primacy of the Class VI UIC well program.</w:t>
            </w:r>
            <w:r w:rsidR="00352EE2">
              <w:t xml:space="preserve"> C.S.</w:t>
            </w:r>
            <w:r w:rsidRPr="006B3927">
              <w:t xml:space="preserve">H.B. 1284 </w:t>
            </w:r>
            <w:r w:rsidR="00352EE2">
              <w:t xml:space="preserve">seeks to address this issue by </w:t>
            </w:r>
            <w:r w:rsidRPr="006B3927">
              <w:t>consolidat</w:t>
            </w:r>
            <w:r w:rsidR="00352EE2">
              <w:t>ing</w:t>
            </w:r>
            <w:r w:rsidRPr="006B3927">
              <w:t xml:space="preserve"> the jurisdiction over onshore and offshore Class VI UIC wells solely under the RRC in order for the state to mor</w:t>
            </w:r>
            <w:r w:rsidRPr="006B3927">
              <w:t>e easily apply for an</w:t>
            </w:r>
            <w:r w:rsidR="00352EE2">
              <w:t>d</w:t>
            </w:r>
            <w:r w:rsidRPr="006B3927">
              <w:t xml:space="preserve"> obtain primacy of this permitting program from EPA.</w:t>
            </w:r>
          </w:p>
          <w:p w14:paraId="2C186507" w14:textId="77777777" w:rsidR="008423E4" w:rsidRPr="00E26B13" w:rsidRDefault="008423E4" w:rsidP="00AA49BB">
            <w:pPr>
              <w:rPr>
                <w:b/>
              </w:rPr>
            </w:pPr>
          </w:p>
        </w:tc>
      </w:tr>
      <w:tr w:rsidR="006B605A" w14:paraId="307342F6" w14:textId="77777777" w:rsidTr="00345119">
        <w:tc>
          <w:tcPr>
            <w:tcW w:w="9576" w:type="dxa"/>
          </w:tcPr>
          <w:p w14:paraId="79D0F59E" w14:textId="77777777" w:rsidR="0017725B" w:rsidRDefault="00793218" w:rsidP="00AA49BB">
            <w:pPr>
              <w:rPr>
                <w:b/>
                <w:u w:val="single"/>
              </w:rPr>
            </w:pPr>
            <w:r>
              <w:rPr>
                <w:b/>
                <w:u w:val="single"/>
              </w:rPr>
              <w:t>CRIMINAL JUSTICE IMPACT</w:t>
            </w:r>
          </w:p>
          <w:p w14:paraId="606BB03F" w14:textId="77777777" w:rsidR="0017725B" w:rsidRDefault="0017725B" w:rsidP="00AA49BB">
            <w:pPr>
              <w:rPr>
                <w:b/>
                <w:u w:val="single"/>
              </w:rPr>
            </w:pPr>
          </w:p>
          <w:p w14:paraId="1E5558D9" w14:textId="77777777" w:rsidR="0017725B" w:rsidRPr="0017725B" w:rsidRDefault="00793218" w:rsidP="00AA49BB">
            <w:pPr>
              <w:jc w:val="both"/>
            </w:pPr>
            <w:r w:rsidRPr="00B60389">
              <w:t xml:space="preserve">It is the committee's opinion that this bill does not expressly create a criminal offense, increase the punishment for an existing criminal offense or </w:t>
            </w:r>
            <w:r w:rsidRPr="00B60389">
              <w:t>category of offenses, or change the eligibility of a person for community supervision, parole, or mandatory supervision.</w:t>
            </w:r>
          </w:p>
          <w:p w14:paraId="4B3E4F41" w14:textId="77777777" w:rsidR="0017725B" w:rsidRPr="0017725B" w:rsidRDefault="0017725B" w:rsidP="00AA49BB">
            <w:pPr>
              <w:rPr>
                <w:b/>
                <w:u w:val="single"/>
              </w:rPr>
            </w:pPr>
          </w:p>
        </w:tc>
      </w:tr>
      <w:tr w:rsidR="006B605A" w14:paraId="29AAEFC1" w14:textId="77777777" w:rsidTr="00345119">
        <w:tc>
          <w:tcPr>
            <w:tcW w:w="9576" w:type="dxa"/>
          </w:tcPr>
          <w:p w14:paraId="50DCA2BF" w14:textId="77777777" w:rsidR="008423E4" w:rsidRPr="00A8133F" w:rsidRDefault="00793218" w:rsidP="00AA49BB">
            <w:pPr>
              <w:rPr>
                <w:b/>
              </w:rPr>
            </w:pPr>
            <w:r w:rsidRPr="009C1E9A">
              <w:rPr>
                <w:b/>
                <w:u w:val="single"/>
              </w:rPr>
              <w:t>RULEMAKING AUTHORITY</w:t>
            </w:r>
            <w:r>
              <w:rPr>
                <w:b/>
              </w:rPr>
              <w:t xml:space="preserve"> </w:t>
            </w:r>
          </w:p>
          <w:p w14:paraId="3B5C48E3" w14:textId="77777777" w:rsidR="008423E4" w:rsidRDefault="008423E4" w:rsidP="00AA49BB"/>
          <w:p w14:paraId="5E64FB96" w14:textId="02A1E5AE" w:rsidR="008423E4" w:rsidRDefault="00793218" w:rsidP="00AA49BB">
            <w:pPr>
              <w:pStyle w:val="Header"/>
              <w:tabs>
                <w:tab w:val="clear" w:pos="4320"/>
                <w:tab w:val="clear" w:pos="8640"/>
              </w:tabs>
              <w:jc w:val="both"/>
            </w:pPr>
            <w:r>
              <w:t xml:space="preserve">It is the committee's opinion that rulemaking authority is expressly granted to the </w:t>
            </w:r>
            <w:r w:rsidRPr="00052E99">
              <w:t>Railroad Commission of Tex</w:t>
            </w:r>
            <w:r w:rsidRPr="00052E99">
              <w:t>as</w:t>
            </w:r>
            <w:r>
              <w:t xml:space="preserve"> in </w:t>
            </w:r>
            <w:r w:rsidRPr="00052E99">
              <w:t xml:space="preserve">SECTION </w:t>
            </w:r>
            <w:r w:rsidR="00CF2951">
              <w:t>12</w:t>
            </w:r>
            <w:r>
              <w:t xml:space="preserve"> of this bill.</w:t>
            </w:r>
          </w:p>
          <w:p w14:paraId="6314A280" w14:textId="77777777" w:rsidR="008423E4" w:rsidRPr="00E21FDC" w:rsidRDefault="008423E4" w:rsidP="00AA49BB">
            <w:pPr>
              <w:rPr>
                <w:b/>
              </w:rPr>
            </w:pPr>
          </w:p>
        </w:tc>
      </w:tr>
      <w:tr w:rsidR="006B605A" w14:paraId="20B8DE94" w14:textId="77777777" w:rsidTr="00345119">
        <w:tc>
          <w:tcPr>
            <w:tcW w:w="9576" w:type="dxa"/>
          </w:tcPr>
          <w:p w14:paraId="1DBC7E21" w14:textId="77777777" w:rsidR="008423E4" w:rsidRPr="00A8133F" w:rsidRDefault="00793218" w:rsidP="00AA49BB">
            <w:pPr>
              <w:rPr>
                <w:b/>
              </w:rPr>
            </w:pPr>
            <w:r w:rsidRPr="009C1E9A">
              <w:rPr>
                <w:b/>
                <w:u w:val="single"/>
              </w:rPr>
              <w:t>ANALYSIS</w:t>
            </w:r>
            <w:r>
              <w:rPr>
                <w:b/>
              </w:rPr>
              <w:t xml:space="preserve"> </w:t>
            </w:r>
          </w:p>
          <w:p w14:paraId="633F889C" w14:textId="77777777" w:rsidR="008423E4" w:rsidRDefault="008423E4" w:rsidP="00AA49BB"/>
          <w:p w14:paraId="1768B399" w14:textId="58EEB9D3" w:rsidR="00B60389" w:rsidRDefault="00793218" w:rsidP="00AA49BB">
            <w:pPr>
              <w:pStyle w:val="Header"/>
              <w:tabs>
                <w:tab w:val="clear" w:pos="4320"/>
                <w:tab w:val="clear" w:pos="8640"/>
              </w:tabs>
              <w:jc w:val="both"/>
            </w:pPr>
            <w:r>
              <w:t xml:space="preserve">C.S.H.B. 1284 amends the Water Code to expand the jurisdiction of the </w:t>
            </w:r>
            <w:r w:rsidRPr="002D6D75">
              <w:t>Railroad Commission of Texas</w:t>
            </w:r>
            <w:r>
              <w:t xml:space="preserve"> </w:t>
            </w:r>
            <w:r w:rsidRPr="002D6D75">
              <w:t>(RRC)</w:t>
            </w:r>
            <w:r>
              <w:t xml:space="preserve"> over the </w:t>
            </w:r>
            <w:r w:rsidRPr="002D6D75">
              <w:t>geologic storage and associated injection of anthropogenic carbon dioxide</w:t>
            </w:r>
            <w:r>
              <w:t xml:space="preserve"> to include </w:t>
            </w:r>
            <w:r w:rsidRPr="002D6D75">
              <w:t xml:space="preserve">jurisdiction over </w:t>
            </w:r>
            <w:r>
              <w:t>any</w:t>
            </w:r>
            <w:r w:rsidRPr="002D6D75">
              <w:t xml:space="preserve"> onshore and offshore injection and geologic storage of carbon dioxide in </w:t>
            </w:r>
            <w:r>
              <w:t xml:space="preserve">the state. </w:t>
            </w:r>
          </w:p>
          <w:p w14:paraId="26BEAFC7" w14:textId="77777777" w:rsidR="00B60389" w:rsidRDefault="00B60389" w:rsidP="00AA49BB">
            <w:pPr>
              <w:pStyle w:val="Header"/>
              <w:tabs>
                <w:tab w:val="clear" w:pos="4320"/>
                <w:tab w:val="clear" w:pos="8640"/>
              </w:tabs>
              <w:jc w:val="both"/>
            </w:pPr>
          </w:p>
          <w:p w14:paraId="7C6A2BCC" w14:textId="1E9D2C09" w:rsidR="00B60389" w:rsidRDefault="00793218" w:rsidP="00AA49BB">
            <w:pPr>
              <w:pStyle w:val="Header"/>
              <w:tabs>
                <w:tab w:val="clear" w:pos="4320"/>
                <w:tab w:val="clear" w:pos="8640"/>
              </w:tabs>
              <w:jc w:val="both"/>
            </w:pPr>
            <w:r w:rsidRPr="00CF2951">
              <w:t>C.S.</w:t>
            </w:r>
            <w:r>
              <w:t>H.B. 1284 makes related changes, including the following:</w:t>
            </w:r>
          </w:p>
          <w:p w14:paraId="101F2E65" w14:textId="77777777" w:rsidR="00B60389" w:rsidRDefault="00793218" w:rsidP="00AA49BB">
            <w:pPr>
              <w:pStyle w:val="Header"/>
              <w:numPr>
                <w:ilvl w:val="0"/>
                <w:numId w:val="1"/>
              </w:numPr>
              <w:tabs>
                <w:tab w:val="clear" w:pos="4320"/>
                <w:tab w:val="clear" w:pos="8640"/>
              </w:tabs>
              <w:jc w:val="both"/>
            </w:pPr>
            <w:r>
              <w:t xml:space="preserve">defining </w:t>
            </w:r>
            <w:r w:rsidRPr="002F3D88">
              <w:t xml:space="preserve">"offshore" </w:t>
            </w:r>
            <w:r>
              <w:t>a</w:t>
            </w:r>
            <w:r w:rsidRPr="002F3D88">
              <w:t>s the area in the Gulf of Mexico seaward of the coast that is wit</w:t>
            </w:r>
            <w:r w:rsidRPr="002F3D88">
              <w:t>hin th</w:t>
            </w:r>
            <w:r>
              <w:t>ree marine leagues of the coast; and</w:t>
            </w:r>
          </w:p>
          <w:p w14:paraId="174380C8" w14:textId="77777777" w:rsidR="009C36CD" w:rsidRDefault="00793218" w:rsidP="00AA49BB">
            <w:pPr>
              <w:pStyle w:val="Header"/>
              <w:numPr>
                <w:ilvl w:val="0"/>
                <w:numId w:val="1"/>
              </w:numPr>
              <w:tabs>
                <w:tab w:val="clear" w:pos="4320"/>
                <w:tab w:val="clear" w:pos="8640"/>
              </w:tabs>
              <w:jc w:val="both"/>
            </w:pPr>
            <w:r>
              <w:t xml:space="preserve">repealing the jurisdiction of the </w:t>
            </w:r>
            <w:r w:rsidRPr="004F0E40">
              <w:t>Texas Commission on Environmental Quality (TCEQ)</w:t>
            </w:r>
            <w:r>
              <w:t xml:space="preserve"> </w:t>
            </w:r>
            <w:r w:rsidRPr="004F0E40">
              <w:t>over the injection of carbon dioxide produced by a clean coal project</w:t>
            </w:r>
            <w:r>
              <w:t xml:space="preserve"> into certain</w:t>
            </w:r>
            <w:r w:rsidRPr="004F0E40">
              <w:t xml:space="preserve"> zone</w:t>
            </w:r>
            <w:r>
              <w:t>s by certain injection wells.</w:t>
            </w:r>
          </w:p>
          <w:p w14:paraId="00AE7359" w14:textId="77777777" w:rsidR="003A45F0" w:rsidRDefault="003A45F0" w:rsidP="00AA49BB">
            <w:pPr>
              <w:pStyle w:val="Header"/>
              <w:tabs>
                <w:tab w:val="clear" w:pos="4320"/>
                <w:tab w:val="clear" w:pos="8640"/>
              </w:tabs>
              <w:jc w:val="both"/>
            </w:pPr>
          </w:p>
          <w:p w14:paraId="13B032F4" w14:textId="1EF03859" w:rsidR="00B60389" w:rsidRDefault="00793218" w:rsidP="00AA49BB">
            <w:pPr>
              <w:pStyle w:val="Header"/>
              <w:tabs>
                <w:tab w:val="clear" w:pos="4320"/>
                <w:tab w:val="clear" w:pos="8640"/>
              </w:tabs>
              <w:jc w:val="both"/>
            </w:pPr>
            <w:r w:rsidRPr="00CF2951">
              <w:t>C.S.</w:t>
            </w:r>
            <w:r>
              <w:t>H.B. 128</w:t>
            </w:r>
            <w:r>
              <w:t xml:space="preserve">4 requires funds received by the RRC </w:t>
            </w:r>
            <w:r w:rsidRPr="00CB4758">
              <w:t>as the beneficiary of a financial responsibility mechanism established under the Injection Well Act</w:t>
            </w:r>
            <w:r>
              <w:t xml:space="preserve"> </w:t>
            </w:r>
            <w:r w:rsidRPr="00CB4758">
              <w:t>for the proper management of an anthropogenic carbon dioxide injection well or geologic storage facility</w:t>
            </w:r>
            <w:r>
              <w:t xml:space="preserve"> to </w:t>
            </w:r>
            <w:r w:rsidRPr="00B07A5E">
              <w:t xml:space="preserve">be </w:t>
            </w:r>
            <w:r w:rsidRPr="00B07A5E">
              <w:t>deposited to the credit of the anthropogenic carbon dioxide storage trust fund</w:t>
            </w:r>
            <w:r>
              <w:t xml:space="preserve">. The bill requires the RRC to adopt rules for the collection and administration of funds received from applicable </w:t>
            </w:r>
            <w:r w:rsidRPr="00B07A5E">
              <w:t>financial responsibility mechanism</w:t>
            </w:r>
            <w:r>
              <w:t>s.</w:t>
            </w:r>
          </w:p>
          <w:p w14:paraId="51D977B1" w14:textId="16C96D88" w:rsidR="003429C4" w:rsidRDefault="003429C4" w:rsidP="00AA49BB">
            <w:pPr>
              <w:pStyle w:val="Header"/>
              <w:tabs>
                <w:tab w:val="clear" w:pos="4320"/>
                <w:tab w:val="clear" w:pos="8640"/>
              </w:tabs>
              <w:jc w:val="both"/>
            </w:pPr>
          </w:p>
          <w:p w14:paraId="61363857" w14:textId="5F28D8D9" w:rsidR="003429C4" w:rsidRDefault="00793218" w:rsidP="00AA49BB">
            <w:pPr>
              <w:pStyle w:val="Header"/>
              <w:tabs>
                <w:tab w:val="clear" w:pos="4320"/>
                <w:tab w:val="clear" w:pos="8640"/>
              </w:tabs>
              <w:jc w:val="both"/>
            </w:pPr>
            <w:r>
              <w:t>C.S.H.B. 1284 prohibits t</w:t>
            </w:r>
            <w:r>
              <w:t>he RRC from</w:t>
            </w:r>
            <w:r w:rsidRPr="003429C4">
              <w:t xml:space="preserve"> issu</w:t>
            </w:r>
            <w:r>
              <w:t>ing</w:t>
            </w:r>
            <w:r w:rsidRPr="003429C4">
              <w:t xml:space="preserve"> a permit under </w:t>
            </w:r>
            <w:r>
              <w:t xml:space="preserve">provisions relating to the </w:t>
            </w:r>
            <w:r w:rsidRPr="003429C4">
              <w:t>geologic storage and associated injection of anthropogenic carbon dioxide for the conversion of a previously plugged and abandoned Class I injection well, including any associated waste plume, t</w:t>
            </w:r>
            <w:r w:rsidRPr="003429C4">
              <w:t>o a Class VI injection well.</w:t>
            </w:r>
            <w:r w:rsidR="00B96C89">
              <w:t xml:space="preserve"> </w:t>
            </w:r>
            <w:r>
              <w:t>The bill requires a</w:t>
            </w:r>
            <w:r w:rsidRPr="003429C4">
              <w:t xml:space="preserve"> person making an application to the </w:t>
            </w:r>
            <w:r>
              <w:t>RRC</w:t>
            </w:r>
            <w:r w:rsidRPr="003429C4">
              <w:t xml:space="preserve"> for a permit under </w:t>
            </w:r>
            <w:r w:rsidR="00B96C89">
              <w:t>such provisions to</w:t>
            </w:r>
            <w:r w:rsidRPr="003429C4">
              <w:t xml:space="preserve"> submit with the application a letter of determination from </w:t>
            </w:r>
            <w:r w:rsidR="00B96C89" w:rsidRPr="00B96C89">
              <w:t>TCEQ</w:t>
            </w:r>
            <w:r w:rsidR="00B96C89">
              <w:t xml:space="preserve"> </w:t>
            </w:r>
            <w:r w:rsidRPr="003429C4">
              <w:t>concluding that drilling and operating an anthropogenic carbon di</w:t>
            </w:r>
            <w:r w:rsidRPr="003429C4">
              <w:t>oxide injection well for geologic storage or constructing or operating a geologic storage facility will not impact or interfere with any previous or existing Class I injection well, including any associated waste plume, or any other injection well authoriz</w:t>
            </w:r>
            <w:r w:rsidRPr="003429C4">
              <w:t xml:space="preserve">ed or permitted by </w:t>
            </w:r>
            <w:r w:rsidR="00B96C89" w:rsidRPr="00B96C89">
              <w:t>TCEQ</w:t>
            </w:r>
            <w:r w:rsidRPr="003429C4">
              <w:t>.</w:t>
            </w:r>
          </w:p>
          <w:p w14:paraId="699F7A41" w14:textId="77777777" w:rsidR="00B60389" w:rsidRDefault="00B60389" w:rsidP="00AA49BB">
            <w:pPr>
              <w:pStyle w:val="Header"/>
              <w:tabs>
                <w:tab w:val="clear" w:pos="4320"/>
                <w:tab w:val="clear" w:pos="8640"/>
              </w:tabs>
              <w:jc w:val="both"/>
            </w:pPr>
          </w:p>
          <w:p w14:paraId="2621F19F" w14:textId="092E428A" w:rsidR="00B60389" w:rsidRDefault="00793218" w:rsidP="00AA49BB">
            <w:pPr>
              <w:pStyle w:val="Header"/>
              <w:tabs>
                <w:tab w:val="clear" w:pos="4320"/>
                <w:tab w:val="clear" w:pos="8640"/>
              </w:tabs>
              <w:jc w:val="both"/>
            </w:pPr>
            <w:r w:rsidRPr="00CF2951">
              <w:t>C.S.</w:t>
            </w:r>
            <w:r>
              <w:t xml:space="preserve">H.B. 1284 amends the Health and Safety Code to do the following: </w:t>
            </w:r>
          </w:p>
          <w:p w14:paraId="7F3F2AB6" w14:textId="77777777" w:rsidR="00B60389" w:rsidRDefault="00793218" w:rsidP="00AA49BB">
            <w:pPr>
              <w:pStyle w:val="Header"/>
              <w:numPr>
                <w:ilvl w:val="0"/>
                <w:numId w:val="2"/>
              </w:numPr>
              <w:tabs>
                <w:tab w:val="clear" w:pos="4320"/>
                <w:tab w:val="clear" w:pos="8640"/>
              </w:tabs>
              <w:jc w:val="both"/>
            </w:pPr>
            <w:r>
              <w:t xml:space="preserve">transfer the jurisdiction of TCEQ under carbon dioxide offshore geologic storage provisions to the RRC; </w:t>
            </w:r>
          </w:p>
          <w:p w14:paraId="35569309" w14:textId="77777777" w:rsidR="00B60389" w:rsidRDefault="00793218" w:rsidP="00AA49BB">
            <w:pPr>
              <w:pStyle w:val="Header"/>
              <w:numPr>
                <w:ilvl w:val="0"/>
                <w:numId w:val="2"/>
              </w:numPr>
              <w:tabs>
                <w:tab w:val="clear" w:pos="4320"/>
                <w:tab w:val="clear" w:pos="8640"/>
              </w:tabs>
              <w:jc w:val="both"/>
            </w:pPr>
            <w:r>
              <w:t>set out related provisions regarding the enforcement of</w:t>
            </w:r>
            <w:r>
              <w:t xml:space="preserve"> an applicable RRC rule; and </w:t>
            </w:r>
          </w:p>
          <w:p w14:paraId="5553911E" w14:textId="77777777" w:rsidR="00B60389" w:rsidRDefault="00793218" w:rsidP="00AA49BB">
            <w:pPr>
              <w:pStyle w:val="Header"/>
              <w:numPr>
                <w:ilvl w:val="0"/>
                <w:numId w:val="2"/>
              </w:numPr>
              <w:tabs>
                <w:tab w:val="clear" w:pos="4320"/>
                <w:tab w:val="clear" w:pos="8640"/>
              </w:tabs>
              <w:jc w:val="both"/>
            </w:pPr>
            <w:r>
              <w:t xml:space="preserve">require an applicable penalty to be </w:t>
            </w:r>
            <w:r w:rsidRPr="007D7582">
              <w:t>deposited to the credit of the anthropogenic carbon dioxide storage trust fund</w:t>
            </w:r>
            <w:r>
              <w:t>.</w:t>
            </w:r>
          </w:p>
          <w:p w14:paraId="01F3055E" w14:textId="77777777" w:rsidR="00B60389" w:rsidRDefault="00B60389" w:rsidP="00AA49BB">
            <w:pPr>
              <w:pStyle w:val="Header"/>
              <w:tabs>
                <w:tab w:val="clear" w:pos="4320"/>
                <w:tab w:val="clear" w:pos="8640"/>
              </w:tabs>
              <w:jc w:val="both"/>
            </w:pPr>
          </w:p>
          <w:p w14:paraId="632195FA" w14:textId="221CB56B" w:rsidR="00B60389" w:rsidRDefault="00793218" w:rsidP="00AA49BB">
            <w:pPr>
              <w:pStyle w:val="Header"/>
              <w:tabs>
                <w:tab w:val="clear" w:pos="4320"/>
                <w:tab w:val="clear" w:pos="8640"/>
              </w:tabs>
              <w:jc w:val="both"/>
            </w:pPr>
            <w:r w:rsidRPr="00CF2951">
              <w:t>C.S.</w:t>
            </w:r>
            <w:r>
              <w:t xml:space="preserve">H.B. 1284 amends the </w:t>
            </w:r>
            <w:r w:rsidRPr="006A5A6C">
              <w:t>Natural Resources Code</w:t>
            </w:r>
            <w:r>
              <w:t xml:space="preserve"> to authorize the use of the </w:t>
            </w:r>
            <w:r w:rsidRPr="006A5A6C">
              <w:t>anthropogenic carbon dioxide stor</w:t>
            </w:r>
            <w:r w:rsidRPr="006A5A6C">
              <w:t>age trust fund</w:t>
            </w:r>
            <w:r>
              <w:t xml:space="preserve"> by the RRC for the permitting of </w:t>
            </w:r>
            <w:r w:rsidRPr="006A5A6C">
              <w:t>geologic storage facilities and associated anthropogenic carbon dioxide injection wells</w:t>
            </w:r>
            <w:r>
              <w:t>.</w:t>
            </w:r>
          </w:p>
          <w:p w14:paraId="1A8385D2" w14:textId="77777777" w:rsidR="00B60389" w:rsidRDefault="00B60389" w:rsidP="00AA49BB">
            <w:pPr>
              <w:pStyle w:val="Header"/>
              <w:tabs>
                <w:tab w:val="clear" w:pos="4320"/>
                <w:tab w:val="clear" w:pos="8640"/>
              </w:tabs>
              <w:jc w:val="both"/>
            </w:pPr>
          </w:p>
          <w:p w14:paraId="42B18648" w14:textId="645EF3C1" w:rsidR="00B60389" w:rsidRDefault="00793218" w:rsidP="00AA49BB">
            <w:pPr>
              <w:pStyle w:val="Header"/>
              <w:tabs>
                <w:tab w:val="clear" w:pos="4320"/>
                <w:tab w:val="clear" w:pos="8640"/>
              </w:tabs>
              <w:jc w:val="both"/>
            </w:pPr>
            <w:r w:rsidRPr="00CF2951">
              <w:t>C.S.</w:t>
            </w:r>
            <w:r>
              <w:t>H.B. 1284 amends the Tax Code to make conforming changes.</w:t>
            </w:r>
          </w:p>
          <w:p w14:paraId="2F794C74" w14:textId="77777777" w:rsidR="00B60389" w:rsidRDefault="00B60389" w:rsidP="00AA49BB">
            <w:pPr>
              <w:pStyle w:val="Header"/>
              <w:tabs>
                <w:tab w:val="clear" w:pos="4320"/>
                <w:tab w:val="clear" w:pos="8640"/>
              </w:tabs>
              <w:jc w:val="both"/>
            </w:pPr>
          </w:p>
          <w:p w14:paraId="5B76BEE1" w14:textId="2982D737" w:rsidR="00B60389" w:rsidRPr="009C36CD" w:rsidRDefault="00793218" w:rsidP="00AA49BB">
            <w:pPr>
              <w:pStyle w:val="Header"/>
              <w:tabs>
                <w:tab w:val="clear" w:pos="4320"/>
                <w:tab w:val="clear" w:pos="8640"/>
              </w:tabs>
              <w:jc w:val="both"/>
            </w:pPr>
            <w:r w:rsidRPr="00CF2951">
              <w:t>C.S.</w:t>
            </w:r>
            <w:r>
              <w:t xml:space="preserve">H.B. 1284 repeals </w:t>
            </w:r>
            <w:r w:rsidRPr="008A6577">
              <w:t>Sections 2</w:t>
            </w:r>
            <w:r>
              <w:t>7.022 and 27.041(b), Wa</w:t>
            </w:r>
            <w:r>
              <w:t>ter Code.</w:t>
            </w:r>
          </w:p>
          <w:p w14:paraId="7585952D" w14:textId="77777777" w:rsidR="008423E4" w:rsidRPr="00835628" w:rsidRDefault="008423E4" w:rsidP="00AA49BB">
            <w:pPr>
              <w:rPr>
                <w:b/>
              </w:rPr>
            </w:pPr>
          </w:p>
        </w:tc>
      </w:tr>
      <w:tr w:rsidR="006B605A" w14:paraId="68247338" w14:textId="77777777" w:rsidTr="00345119">
        <w:tc>
          <w:tcPr>
            <w:tcW w:w="9576" w:type="dxa"/>
          </w:tcPr>
          <w:p w14:paraId="6F3F97B9" w14:textId="77777777" w:rsidR="008423E4" w:rsidRPr="00A8133F" w:rsidRDefault="00793218" w:rsidP="00AA49BB">
            <w:pPr>
              <w:rPr>
                <w:b/>
              </w:rPr>
            </w:pPr>
            <w:r w:rsidRPr="009C1E9A">
              <w:rPr>
                <w:b/>
                <w:u w:val="single"/>
              </w:rPr>
              <w:t>EFFECTIVE DATE</w:t>
            </w:r>
            <w:r>
              <w:rPr>
                <w:b/>
              </w:rPr>
              <w:t xml:space="preserve"> </w:t>
            </w:r>
          </w:p>
          <w:p w14:paraId="75AC8ABE" w14:textId="77777777" w:rsidR="008423E4" w:rsidRDefault="008423E4" w:rsidP="00AA49BB"/>
          <w:p w14:paraId="775382A5" w14:textId="77777777" w:rsidR="008423E4" w:rsidRPr="003624F2" w:rsidRDefault="00793218" w:rsidP="00AA49BB">
            <w:pPr>
              <w:pStyle w:val="Header"/>
              <w:tabs>
                <w:tab w:val="clear" w:pos="4320"/>
                <w:tab w:val="clear" w:pos="8640"/>
              </w:tabs>
              <w:jc w:val="both"/>
            </w:pPr>
            <w:r>
              <w:t>On passage, or, if the bill does not receive the necessary vote, September 1, 2021.</w:t>
            </w:r>
          </w:p>
          <w:p w14:paraId="59C7FC3C" w14:textId="77777777" w:rsidR="008423E4" w:rsidRPr="00233FDB" w:rsidRDefault="008423E4" w:rsidP="00AA49BB">
            <w:pPr>
              <w:rPr>
                <w:b/>
              </w:rPr>
            </w:pPr>
          </w:p>
        </w:tc>
      </w:tr>
      <w:tr w:rsidR="006B605A" w14:paraId="3E14AFF6" w14:textId="77777777" w:rsidTr="00345119">
        <w:tc>
          <w:tcPr>
            <w:tcW w:w="9576" w:type="dxa"/>
          </w:tcPr>
          <w:p w14:paraId="59651AFC" w14:textId="77777777" w:rsidR="00FE73EE" w:rsidRDefault="00793218" w:rsidP="00AA49BB">
            <w:pPr>
              <w:jc w:val="both"/>
              <w:rPr>
                <w:b/>
                <w:u w:val="single"/>
              </w:rPr>
            </w:pPr>
            <w:r>
              <w:rPr>
                <w:b/>
                <w:u w:val="single"/>
              </w:rPr>
              <w:t>COMPARISON OF ORIGINAL AND SUBSTITUTE</w:t>
            </w:r>
          </w:p>
          <w:p w14:paraId="110C7E2F" w14:textId="77777777" w:rsidR="00BA4AB2" w:rsidRDefault="00BA4AB2" w:rsidP="00AA49BB">
            <w:pPr>
              <w:jc w:val="both"/>
            </w:pPr>
          </w:p>
          <w:p w14:paraId="7D5F8681" w14:textId="77F2DE6A" w:rsidR="00BA4AB2" w:rsidRDefault="00793218" w:rsidP="00AA49BB">
            <w:pPr>
              <w:jc w:val="both"/>
            </w:pPr>
            <w:r>
              <w:t xml:space="preserve">While C.S.H.B. 1284 may differ from the original in minor or nonsubstantive ways, the following </w:t>
            </w:r>
            <w:r>
              <w:t>summarizes the substantial differences between the introduced and committee substitute versions of the bill.</w:t>
            </w:r>
          </w:p>
          <w:p w14:paraId="3B4B7AED" w14:textId="5392C043" w:rsidR="00BA4AB2" w:rsidRDefault="00BA4AB2" w:rsidP="00AA49BB">
            <w:pPr>
              <w:jc w:val="both"/>
            </w:pPr>
          </w:p>
          <w:p w14:paraId="3FE6AA66" w14:textId="36DE30DF" w:rsidR="00B61871" w:rsidRDefault="00793218" w:rsidP="00AA49BB">
            <w:pPr>
              <w:jc w:val="both"/>
            </w:pPr>
            <w:r>
              <w:t>The substitute includes provisions that do the following:</w:t>
            </w:r>
          </w:p>
          <w:p w14:paraId="2DAA292F" w14:textId="03A246A3" w:rsidR="00B61871" w:rsidRDefault="00793218" w:rsidP="00AA49BB">
            <w:pPr>
              <w:pStyle w:val="ListParagraph"/>
              <w:numPr>
                <w:ilvl w:val="0"/>
                <w:numId w:val="3"/>
              </w:numPr>
              <w:jc w:val="both"/>
            </w:pPr>
            <w:r w:rsidRPr="00BA4AB2">
              <w:t>pro</w:t>
            </w:r>
            <w:r>
              <w:t>hibit</w:t>
            </w:r>
            <w:r w:rsidRPr="00BA4AB2">
              <w:t xml:space="preserve"> the RRC from issuing a permit under provisions relating to the geologic storage</w:t>
            </w:r>
            <w:r w:rsidRPr="00BA4AB2">
              <w:t xml:space="preserve"> and associated injection of anthropogenic carbon dioxide for the conversion of a previously plugged and abandoned Class I injection well, including any associated waste plum</w:t>
            </w:r>
            <w:r>
              <w:t>e, to a Class VI injection well; and</w:t>
            </w:r>
          </w:p>
          <w:p w14:paraId="51DA94BC" w14:textId="15D26359" w:rsidR="00BA4AB2" w:rsidRDefault="00793218" w:rsidP="00AA49BB">
            <w:pPr>
              <w:pStyle w:val="ListParagraph"/>
              <w:numPr>
                <w:ilvl w:val="0"/>
                <w:numId w:val="3"/>
              </w:numPr>
              <w:jc w:val="both"/>
            </w:pPr>
            <w:r>
              <w:t>require</w:t>
            </w:r>
            <w:r w:rsidRPr="00BA4AB2">
              <w:t xml:space="preserve"> a person making an application to the</w:t>
            </w:r>
            <w:r w:rsidRPr="00BA4AB2">
              <w:t xml:space="preserve"> RRC for a permit under </w:t>
            </w:r>
            <w:r>
              <w:t>those</w:t>
            </w:r>
            <w:r w:rsidRPr="00BA4AB2">
              <w:t xml:space="preserve"> provisions to submit with the application a letter of determination from TCEQ concluding that drilling and operating an anthropogenic carbon dioxide injection well for geologic storage or constructing or operating a geologic s</w:t>
            </w:r>
            <w:r w:rsidRPr="00BA4AB2">
              <w:t>torage facility will not impact or interfere with any previous or existing Class I injection well, including any associated waste plume, or any other injection well authorized or permitted by TCEQ.</w:t>
            </w:r>
          </w:p>
          <w:p w14:paraId="7B43089A" w14:textId="77777777" w:rsidR="00BA4AB2" w:rsidRDefault="00BA4AB2" w:rsidP="00AA49BB">
            <w:pPr>
              <w:jc w:val="both"/>
            </w:pPr>
          </w:p>
          <w:p w14:paraId="16C9281D" w14:textId="4585195E" w:rsidR="00BA4AB2" w:rsidRPr="00BA4AB2" w:rsidRDefault="00BA4AB2" w:rsidP="00AA49BB">
            <w:pPr>
              <w:jc w:val="both"/>
            </w:pPr>
          </w:p>
        </w:tc>
      </w:tr>
      <w:tr w:rsidR="006B605A" w14:paraId="6F184372" w14:textId="77777777" w:rsidTr="00345119">
        <w:tc>
          <w:tcPr>
            <w:tcW w:w="9576" w:type="dxa"/>
          </w:tcPr>
          <w:p w14:paraId="3AAF3886" w14:textId="77777777" w:rsidR="00FE73EE" w:rsidRPr="009C1E9A" w:rsidRDefault="00FE73EE" w:rsidP="00AA49BB">
            <w:pPr>
              <w:rPr>
                <w:b/>
                <w:u w:val="single"/>
              </w:rPr>
            </w:pPr>
          </w:p>
        </w:tc>
      </w:tr>
      <w:tr w:rsidR="006B605A" w14:paraId="08E826DC" w14:textId="77777777" w:rsidTr="00345119">
        <w:tc>
          <w:tcPr>
            <w:tcW w:w="9576" w:type="dxa"/>
          </w:tcPr>
          <w:p w14:paraId="10E0534B" w14:textId="77777777" w:rsidR="00FE73EE" w:rsidRPr="00FE73EE" w:rsidRDefault="00FE73EE" w:rsidP="00AA49BB">
            <w:pPr>
              <w:jc w:val="both"/>
            </w:pPr>
          </w:p>
        </w:tc>
      </w:tr>
    </w:tbl>
    <w:p w14:paraId="4D278BC1" w14:textId="77777777" w:rsidR="008423E4" w:rsidRPr="00BE0E75" w:rsidRDefault="008423E4" w:rsidP="00AA49BB">
      <w:pPr>
        <w:jc w:val="both"/>
        <w:rPr>
          <w:rFonts w:ascii="Arial" w:hAnsi="Arial"/>
          <w:sz w:val="16"/>
          <w:szCs w:val="16"/>
        </w:rPr>
      </w:pPr>
    </w:p>
    <w:p w14:paraId="0129500C" w14:textId="77777777" w:rsidR="004108C3" w:rsidRPr="008423E4" w:rsidRDefault="004108C3" w:rsidP="00AA49BB"/>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0CD3A" w14:textId="77777777" w:rsidR="00000000" w:rsidRDefault="00793218">
      <w:r>
        <w:separator/>
      </w:r>
    </w:p>
  </w:endnote>
  <w:endnote w:type="continuationSeparator" w:id="0">
    <w:p w14:paraId="527F3DF4" w14:textId="77777777" w:rsidR="00000000" w:rsidRDefault="0079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33A52"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B605A" w14:paraId="19662926" w14:textId="77777777" w:rsidTr="009C1E9A">
      <w:trPr>
        <w:cantSplit/>
      </w:trPr>
      <w:tc>
        <w:tcPr>
          <w:tcW w:w="0" w:type="pct"/>
        </w:tcPr>
        <w:p w14:paraId="67E1CCAD" w14:textId="77777777" w:rsidR="00137D90" w:rsidRDefault="00137D90" w:rsidP="009C1E9A">
          <w:pPr>
            <w:pStyle w:val="Footer"/>
            <w:tabs>
              <w:tab w:val="clear" w:pos="8640"/>
              <w:tab w:val="right" w:pos="9360"/>
            </w:tabs>
          </w:pPr>
        </w:p>
      </w:tc>
      <w:tc>
        <w:tcPr>
          <w:tcW w:w="2395" w:type="pct"/>
        </w:tcPr>
        <w:p w14:paraId="5C75F3B2" w14:textId="77777777" w:rsidR="00137D90" w:rsidRDefault="00137D90" w:rsidP="009C1E9A">
          <w:pPr>
            <w:pStyle w:val="Footer"/>
            <w:tabs>
              <w:tab w:val="clear" w:pos="8640"/>
              <w:tab w:val="right" w:pos="9360"/>
            </w:tabs>
          </w:pPr>
        </w:p>
        <w:p w14:paraId="3412CE41" w14:textId="77777777" w:rsidR="001A4310" w:rsidRDefault="001A4310" w:rsidP="009C1E9A">
          <w:pPr>
            <w:pStyle w:val="Footer"/>
            <w:tabs>
              <w:tab w:val="clear" w:pos="8640"/>
              <w:tab w:val="right" w:pos="9360"/>
            </w:tabs>
          </w:pPr>
        </w:p>
        <w:p w14:paraId="507F5E3E" w14:textId="77777777" w:rsidR="00137D90" w:rsidRDefault="00137D90" w:rsidP="009C1E9A">
          <w:pPr>
            <w:pStyle w:val="Footer"/>
            <w:tabs>
              <w:tab w:val="clear" w:pos="8640"/>
              <w:tab w:val="right" w:pos="9360"/>
            </w:tabs>
          </w:pPr>
        </w:p>
      </w:tc>
      <w:tc>
        <w:tcPr>
          <w:tcW w:w="2453" w:type="pct"/>
        </w:tcPr>
        <w:p w14:paraId="414F4711" w14:textId="77777777" w:rsidR="00137D90" w:rsidRDefault="00137D90" w:rsidP="009C1E9A">
          <w:pPr>
            <w:pStyle w:val="Footer"/>
            <w:tabs>
              <w:tab w:val="clear" w:pos="8640"/>
              <w:tab w:val="right" w:pos="9360"/>
            </w:tabs>
            <w:jc w:val="right"/>
          </w:pPr>
        </w:p>
      </w:tc>
    </w:tr>
    <w:tr w:rsidR="006B605A" w14:paraId="45029938" w14:textId="77777777" w:rsidTr="009C1E9A">
      <w:trPr>
        <w:cantSplit/>
      </w:trPr>
      <w:tc>
        <w:tcPr>
          <w:tcW w:w="0" w:type="pct"/>
        </w:tcPr>
        <w:p w14:paraId="7F4565B3" w14:textId="77777777" w:rsidR="00EC379B" w:rsidRDefault="00EC379B" w:rsidP="009C1E9A">
          <w:pPr>
            <w:pStyle w:val="Footer"/>
            <w:tabs>
              <w:tab w:val="clear" w:pos="8640"/>
              <w:tab w:val="right" w:pos="9360"/>
            </w:tabs>
          </w:pPr>
        </w:p>
      </w:tc>
      <w:tc>
        <w:tcPr>
          <w:tcW w:w="2395" w:type="pct"/>
        </w:tcPr>
        <w:p w14:paraId="245B8E7F" w14:textId="77777777" w:rsidR="00EC379B" w:rsidRPr="009C1E9A" w:rsidRDefault="00793218" w:rsidP="009C1E9A">
          <w:pPr>
            <w:pStyle w:val="Footer"/>
            <w:tabs>
              <w:tab w:val="clear" w:pos="8640"/>
              <w:tab w:val="right" w:pos="9360"/>
            </w:tabs>
            <w:rPr>
              <w:rFonts w:ascii="Shruti" w:hAnsi="Shruti"/>
              <w:sz w:val="22"/>
            </w:rPr>
          </w:pPr>
          <w:r>
            <w:rPr>
              <w:rFonts w:ascii="Shruti" w:hAnsi="Shruti"/>
              <w:sz w:val="22"/>
            </w:rPr>
            <w:t>87R 17155</w:t>
          </w:r>
        </w:p>
      </w:tc>
      <w:tc>
        <w:tcPr>
          <w:tcW w:w="2453" w:type="pct"/>
        </w:tcPr>
        <w:p w14:paraId="67766B63" w14:textId="527BEBFB" w:rsidR="00EC379B" w:rsidRDefault="00793218" w:rsidP="009C1E9A">
          <w:pPr>
            <w:pStyle w:val="Footer"/>
            <w:tabs>
              <w:tab w:val="clear" w:pos="8640"/>
              <w:tab w:val="right" w:pos="9360"/>
            </w:tabs>
            <w:jc w:val="right"/>
          </w:pPr>
          <w:r>
            <w:fldChar w:fldCharType="begin"/>
          </w:r>
          <w:r>
            <w:instrText xml:space="preserve"> DOCPROPERTY  OTID  \* MERGEFORMAT </w:instrText>
          </w:r>
          <w:r>
            <w:fldChar w:fldCharType="separate"/>
          </w:r>
          <w:r w:rsidR="00CA65EC">
            <w:t>21.86.112</w:t>
          </w:r>
          <w:r>
            <w:fldChar w:fldCharType="end"/>
          </w:r>
        </w:p>
      </w:tc>
    </w:tr>
    <w:tr w:rsidR="006B605A" w14:paraId="4F23C5B6" w14:textId="77777777" w:rsidTr="009C1E9A">
      <w:trPr>
        <w:cantSplit/>
      </w:trPr>
      <w:tc>
        <w:tcPr>
          <w:tcW w:w="0" w:type="pct"/>
        </w:tcPr>
        <w:p w14:paraId="0FBCD489" w14:textId="77777777" w:rsidR="00EC379B" w:rsidRDefault="00EC379B" w:rsidP="009C1E9A">
          <w:pPr>
            <w:pStyle w:val="Footer"/>
            <w:tabs>
              <w:tab w:val="clear" w:pos="4320"/>
              <w:tab w:val="clear" w:pos="8640"/>
              <w:tab w:val="left" w:pos="2865"/>
            </w:tabs>
          </w:pPr>
        </w:p>
      </w:tc>
      <w:tc>
        <w:tcPr>
          <w:tcW w:w="2395" w:type="pct"/>
        </w:tcPr>
        <w:p w14:paraId="5A32416B" w14:textId="77777777" w:rsidR="00EC379B" w:rsidRPr="009C1E9A" w:rsidRDefault="00793218" w:rsidP="009C1E9A">
          <w:pPr>
            <w:pStyle w:val="Footer"/>
            <w:tabs>
              <w:tab w:val="clear" w:pos="4320"/>
              <w:tab w:val="clear" w:pos="8640"/>
              <w:tab w:val="left" w:pos="2865"/>
            </w:tabs>
            <w:rPr>
              <w:rFonts w:ascii="Shruti" w:hAnsi="Shruti"/>
              <w:sz w:val="22"/>
            </w:rPr>
          </w:pPr>
          <w:r>
            <w:rPr>
              <w:rFonts w:ascii="Shruti" w:hAnsi="Shruti"/>
              <w:sz w:val="22"/>
            </w:rPr>
            <w:t>Substitute Document Number: 87R 11185</w:t>
          </w:r>
        </w:p>
      </w:tc>
      <w:tc>
        <w:tcPr>
          <w:tcW w:w="2453" w:type="pct"/>
        </w:tcPr>
        <w:p w14:paraId="550481CF" w14:textId="77777777" w:rsidR="00EC379B" w:rsidRDefault="00EC379B" w:rsidP="006D504F">
          <w:pPr>
            <w:pStyle w:val="Footer"/>
            <w:rPr>
              <w:rStyle w:val="PageNumber"/>
            </w:rPr>
          </w:pPr>
        </w:p>
        <w:p w14:paraId="28F4B72B" w14:textId="77777777" w:rsidR="00EC379B" w:rsidRDefault="00EC379B" w:rsidP="009C1E9A">
          <w:pPr>
            <w:pStyle w:val="Footer"/>
            <w:tabs>
              <w:tab w:val="clear" w:pos="8640"/>
              <w:tab w:val="right" w:pos="9360"/>
            </w:tabs>
            <w:jc w:val="right"/>
          </w:pPr>
        </w:p>
      </w:tc>
    </w:tr>
    <w:tr w:rsidR="006B605A" w14:paraId="4F3329E0" w14:textId="77777777" w:rsidTr="009C1E9A">
      <w:trPr>
        <w:cantSplit/>
        <w:trHeight w:val="323"/>
      </w:trPr>
      <w:tc>
        <w:tcPr>
          <w:tcW w:w="0" w:type="pct"/>
          <w:gridSpan w:val="3"/>
        </w:tcPr>
        <w:p w14:paraId="2A64AFD5" w14:textId="079DDF12" w:rsidR="00EC379B" w:rsidRDefault="0079321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E4812">
            <w:rPr>
              <w:rStyle w:val="PageNumber"/>
              <w:noProof/>
            </w:rPr>
            <w:t>2</w:t>
          </w:r>
          <w:r>
            <w:rPr>
              <w:rStyle w:val="PageNumber"/>
            </w:rPr>
            <w:fldChar w:fldCharType="end"/>
          </w:r>
        </w:p>
        <w:p w14:paraId="73BA5A9D" w14:textId="77777777" w:rsidR="00EC379B" w:rsidRDefault="00EC379B" w:rsidP="009C1E9A">
          <w:pPr>
            <w:pStyle w:val="Footer"/>
            <w:tabs>
              <w:tab w:val="clear" w:pos="8640"/>
              <w:tab w:val="right" w:pos="9360"/>
            </w:tabs>
            <w:jc w:val="center"/>
          </w:pPr>
        </w:p>
      </w:tc>
    </w:tr>
  </w:tbl>
  <w:p w14:paraId="78DA657E"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8D0D"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E8672" w14:textId="77777777" w:rsidR="00000000" w:rsidRDefault="00793218">
      <w:r>
        <w:separator/>
      </w:r>
    </w:p>
  </w:footnote>
  <w:footnote w:type="continuationSeparator" w:id="0">
    <w:p w14:paraId="5618CAEE" w14:textId="77777777" w:rsidR="00000000" w:rsidRDefault="00793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D3242"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FE230"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C9C28"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C40"/>
    <w:multiLevelType w:val="hybridMultilevel"/>
    <w:tmpl w:val="ACBC25BC"/>
    <w:lvl w:ilvl="0" w:tplc="C2ACBBE4">
      <w:start w:val="1"/>
      <w:numFmt w:val="bullet"/>
      <w:lvlText w:val=""/>
      <w:lvlJc w:val="left"/>
      <w:pPr>
        <w:ind w:left="720" w:hanging="360"/>
      </w:pPr>
      <w:rPr>
        <w:rFonts w:ascii="Symbol" w:hAnsi="Symbol" w:hint="default"/>
      </w:rPr>
    </w:lvl>
    <w:lvl w:ilvl="1" w:tplc="D3469C06" w:tentative="1">
      <w:start w:val="1"/>
      <w:numFmt w:val="bullet"/>
      <w:lvlText w:val="o"/>
      <w:lvlJc w:val="left"/>
      <w:pPr>
        <w:ind w:left="1440" w:hanging="360"/>
      </w:pPr>
      <w:rPr>
        <w:rFonts w:ascii="Courier New" w:hAnsi="Courier New" w:cs="Courier New" w:hint="default"/>
      </w:rPr>
    </w:lvl>
    <w:lvl w:ilvl="2" w:tplc="080E569A" w:tentative="1">
      <w:start w:val="1"/>
      <w:numFmt w:val="bullet"/>
      <w:lvlText w:val=""/>
      <w:lvlJc w:val="left"/>
      <w:pPr>
        <w:ind w:left="2160" w:hanging="360"/>
      </w:pPr>
      <w:rPr>
        <w:rFonts w:ascii="Wingdings" w:hAnsi="Wingdings" w:hint="default"/>
      </w:rPr>
    </w:lvl>
    <w:lvl w:ilvl="3" w:tplc="ACF8537E" w:tentative="1">
      <w:start w:val="1"/>
      <w:numFmt w:val="bullet"/>
      <w:lvlText w:val=""/>
      <w:lvlJc w:val="left"/>
      <w:pPr>
        <w:ind w:left="2880" w:hanging="360"/>
      </w:pPr>
      <w:rPr>
        <w:rFonts w:ascii="Symbol" w:hAnsi="Symbol" w:hint="default"/>
      </w:rPr>
    </w:lvl>
    <w:lvl w:ilvl="4" w:tplc="6542F556" w:tentative="1">
      <w:start w:val="1"/>
      <w:numFmt w:val="bullet"/>
      <w:lvlText w:val="o"/>
      <w:lvlJc w:val="left"/>
      <w:pPr>
        <w:ind w:left="3600" w:hanging="360"/>
      </w:pPr>
      <w:rPr>
        <w:rFonts w:ascii="Courier New" w:hAnsi="Courier New" w:cs="Courier New" w:hint="default"/>
      </w:rPr>
    </w:lvl>
    <w:lvl w:ilvl="5" w:tplc="781A078E" w:tentative="1">
      <w:start w:val="1"/>
      <w:numFmt w:val="bullet"/>
      <w:lvlText w:val=""/>
      <w:lvlJc w:val="left"/>
      <w:pPr>
        <w:ind w:left="4320" w:hanging="360"/>
      </w:pPr>
      <w:rPr>
        <w:rFonts w:ascii="Wingdings" w:hAnsi="Wingdings" w:hint="default"/>
      </w:rPr>
    </w:lvl>
    <w:lvl w:ilvl="6" w:tplc="1668FDC8" w:tentative="1">
      <w:start w:val="1"/>
      <w:numFmt w:val="bullet"/>
      <w:lvlText w:val=""/>
      <w:lvlJc w:val="left"/>
      <w:pPr>
        <w:ind w:left="5040" w:hanging="360"/>
      </w:pPr>
      <w:rPr>
        <w:rFonts w:ascii="Symbol" w:hAnsi="Symbol" w:hint="default"/>
      </w:rPr>
    </w:lvl>
    <w:lvl w:ilvl="7" w:tplc="758CD5B6" w:tentative="1">
      <w:start w:val="1"/>
      <w:numFmt w:val="bullet"/>
      <w:lvlText w:val="o"/>
      <w:lvlJc w:val="left"/>
      <w:pPr>
        <w:ind w:left="5760" w:hanging="360"/>
      </w:pPr>
      <w:rPr>
        <w:rFonts w:ascii="Courier New" w:hAnsi="Courier New" w:cs="Courier New" w:hint="default"/>
      </w:rPr>
    </w:lvl>
    <w:lvl w:ilvl="8" w:tplc="58B6CEC2" w:tentative="1">
      <w:start w:val="1"/>
      <w:numFmt w:val="bullet"/>
      <w:lvlText w:val=""/>
      <w:lvlJc w:val="left"/>
      <w:pPr>
        <w:ind w:left="6480" w:hanging="360"/>
      </w:pPr>
      <w:rPr>
        <w:rFonts w:ascii="Wingdings" w:hAnsi="Wingdings" w:hint="default"/>
      </w:rPr>
    </w:lvl>
  </w:abstractNum>
  <w:abstractNum w:abstractNumId="1" w15:restartNumberingAfterBreak="0">
    <w:nsid w:val="10F0006C"/>
    <w:multiLevelType w:val="hybridMultilevel"/>
    <w:tmpl w:val="DCE4A0F0"/>
    <w:lvl w:ilvl="0" w:tplc="82E4D330">
      <w:start w:val="1"/>
      <w:numFmt w:val="bullet"/>
      <w:lvlText w:val=""/>
      <w:lvlJc w:val="left"/>
      <w:pPr>
        <w:ind w:left="720" w:hanging="360"/>
      </w:pPr>
      <w:rPr>
        <w:rFonts w:ascii="Symbol" w:hAnsi="Symbol" w:hint="default"/>
      </w:rPr>
    </w:lvl>
    <w:lvl w:ilvl="1" w:tplc="6F72EE56" w:tentative="1">
      <w:start w:val="1"/>
      <w:numFmt w:val="bullet"/>
      <w:lvlText w:val="o"/>
      <w:lvlJc w:val="left"/>
      <w:pPr>
        <w:ind w:left="1440" w:hanging="360"/>
      </w:pPr>
      <w:rPr>
        <w:rFonts w:ascii="Courier New" w:hAnsi="Courier New" w:cs="Courier New" w:hint="default"/>
      </w:rPr>
    </w:lvl>
    <w:lvl w:ilvl="2" w:tplc="117ACD46" w:tentative="1">
      <w:start w:val="1"/>
      <w:numFmt w:val="bullet"/>
      <w:lvlText w:val=""/>
      <w:lvlJc w:val="left"/>
      <w:pPr>
        <w:ind w:left="2160" w:hanging="360"/>
      </w:pPr>
      <w:rPr>
        <w:rFonts w:ascii="Wingdings" w:hAnsi="Wingdings" w:hint="default"/>
      </w:rPr>
    </w:lvl>
    <w:lvl w:ilvl="3" w:tplc="6B9EE57A" w:tentative="1">
      <w:start w:val="1"/>
      <w:numFmt w:val="bullet"/>
      <w:lvlText w:val=""/>
      <w:lvlJc w:val="left"/>
      <w:pPr>
        <w:ind w:left="2880" w:hanging="360"/>
      </w:pPr>
      <w:rPr>
        <w:rFonts w:ascii="Symbol" w:hAnsi="Symbol" w:hint="default"/>
      </w:rPr>
    </w:lvl>
    <w:lvl w:ilvl="4" w:tplc="FF1C6E2C" w:tentative="1">
      <w:start w:val="1"/>
      <w:numFmt w:val="bullet"/>
      <w:lvlText w:val="o"/>
      <w:lvlJc w:val="left"/>
      <w:pPr>
        <w:ind w:left="3600" w:hanging="360"/>
      </w:pPr>
      <w:rPr>
        <w:rFonts w:ascii="Courier New" w:hAnsi="Courier New" w:cs="Courier New" w:hint="default"/>
      </w:rPr>
    </w:lvl>
    <w:lvl w:ilvl="5" w:tplc="F2F09882" w:tentative="1">
      <w:start w:val="1"/>
      <w:numFmt w:val="bullet"/>
      <w:lvlText w:val=""/>
      <w:lvlJc w:val="left"/>
      <w:pPr>
        <w:ind w:left="4320" w:hanging="360"/>
      </w:pPr>
      <w:rPr>
        <w:rFonts w:ascii="Wingdings" w:hAnsi="Wingdings" w:hint="default"/>
      </w:rPr>
    </w:lvl>
    <w:lvl w:ilvl="6" w:tplc="2F4CE28E" w:tentative="1">
      <w:start w:val="1"/>
      <w:numFmt w:val="bullet"/>
      <w:lvlText w:val=""/>
      <w:lvlJc w:val="left"/>
      <w:pPr>
        <w:ind w:left="5040" w:hanging="360"/>
      </w:pPr>
      <w:rPr>
        <w:rFonts w:ascii="Symbol" w:hAnsi="Symbol" w:hint="default"/>
      </w:rPr>
    </w:lvl>
    <w:lvl w:ilvl="7" w:tplc="DBC4A2A0" w:tentative="1">
      <w:start w:val="1"/>
      <w:numFmt w:val="bullet"/>
      <w:lvlText w:val="o"/>
      <w:lvlJc w:val="left"/>
      <w:pPr>
        <w:ind w:left="5760" w:hanging="360"/>
      </w:pPr>
      <w:rPr>
        <w:rFonts w:ascii="Courier New" w:hAnsi="Courier New" w:cs="Courier New" w:hint="default"/>
      </w:rPr>
    </w:lvl>
    <w:lvl w:ilvl="8" w:tplc="3FCCD49C" w:tentative="1">
      <w:start w:val="1"/>
      <w:numFmt w:val="bullet"/>
      <w:lvlText w:val=""/>
      <w:lvlJc w:val="left"/>
      <w:pPr>
        <w:ind w:left="6480" w:hanging="360"/>
      </w:pPr>
      <w:rPr>
        <w:rFonts w:ascii="Wingdings" w:hAnsi="Wingdings" w:hint="default"/>
      </w:rPr>
    </w:lvl>
  </w:abstractNum>
  <w:abstractNum w:abstractNumId="2" w15:restartNumberingAfterBreak="0">
    <w:nsid w:val="12CA0702"/>
    <w:multiLevelType w:val="hybridMultilevel"/>
    <w:tmpl w:val="EF4AAEE8"/>
    <w:lvl w:ilvl="0" w:tplc="95CC4F1E">
      <w:start w:val="1"/>
      <w:numFmt w:val="bullet"/>
      <w:lvlText w:val=""/>
      <w:lvlJc w:val="left"/>
      <w:pPr>
        <w:ind w:left="720" w:hanging="360"/>
      </w:pPr>
      <w:rPr>
        <w:rFonts w:ascii="Symbol" w:hAnsi="Symbol" w:hint="default"/>
      </w:rPr>
    </w:lvl>
    <w:lvl w:ilvl="1" w:tplc="C8D883A2" w:tentative="1">
      <w:start w:val="1"/>
      <w:numFmt w:val="bullet"/>
      <w:lvlText w:val="o"/>
      <w:lvlJc w:val="left"/>
      <w:pPr>
        <w:ind w:left="1440" w:hanging="360"/>
      </w:pPr>
      <w:rPr>
        <w:rFonts w:ascii="Courier New" w:hAnsi="Courier New" w:cs="Courier New" w:hint="default"/>
      </w:rPr>
    </w:lvl>
    <w:lvl w:ilvl="2" w:tplc="66846A32" w:tentative="1">
      <w:start w:val="1"/>
      <w:numFmt w:val="bullet"/>
      <w:lvlText w:val=""/>
      <w:lvlJc w:val="left"/>
      <w:pPr>
        <w:ind w:left="2160" w:hanging="360"/>
      </w:pPr>
      <w:rPr>
        <w:rFonts w:ascii="Wingdings" w:hAnsi="Wingdings" w:hint="default"/>
      </w:rPr>
    </w:lvl>
    <w:lvl w:ilvl="3" w:tplc="56FEAB58" w:tentative="1">
      <w:start w:val="1"/>
      <w:numFmt w:val="bullet"/>
      <w:lvlText w:val=""/>
      <w:lvlJc w:val="left"/>
      <w:pPr>
        <w:ind w:left="2880" w:hanging="360"/>
      </w:pPr>
      <w:rPr>
        <w:rFonts w:ascii="Symbol" w:hAnsi="Symbol" w:hint="default"/>
      </w:rPr>
    </w:lvl>
    <w:lvl w:ilvl="4" w:tplc="FB58F9C2" w:tentative="1">
      <w:start w:val="1"/>
      <w:numFmt w:val="bullet"/>
      <w:lvlText w:val="o"/>
      <w:lvlJc w:val="left"/>
      <w:pPr>
        <w:ind w:left="3600" w:hanging="360"/>
      </w:pPr>
      <w:rPr>
        <w:rFonts w:ascii="Courier New" w:hAnsi="Courier New" w:cs="Courier New" w:hint="default"/>
      </w:rPr>
    </w:lvl>
    <w:lvl w:ilvl="5" w:tplc="1DD6DFC8" w:tentative="1">
      <w:start w:val="1"/>
      <w:numFmt w:val="bullet"/>
      <w:lvlText w:val=""/>
      <w:lvlJc w:val="left"/>
      <w:pPr>
        <w:ind w:left="4320" w:hanging="360"/>
      </w:pPr>
      <w:rPr>
        <w:rFonts w:ascii="Wingdings" w:hAnsi="Wingdings" w:hint="default"/>
      </w:rPr>
    </w:lvl>
    <w:lvl w:ilvl="6" w:tplc="BAFAAC14" w:tentative="1">
      <w:start w:val="1"/>
      <w:numFmt w:val="bullet"/>
      <w:lvlText w:val=""/>
      <w:lvlJc w:val="left"/>
      <w:pPr>
        <w:ind w:left="5040" w:hanging="360"/>
      </w:pPr>
      <w:rPr>
        <w:rFonts w:ascii="Symbol" w:hAnsi="Symbol" w:hint="default"/>
      </w:rPr>
    </w:lvl>
    <w:lvl w:ilvl="7" w:tplc="1CDA60CA" w:tentative="1">
      <w:start w:val="1"/>
      <w:numFmt w:val="bullet"/>
      <w:lvlText w:val="o"/>
      <w:lvlJc w:val="left"/>
      <w:pPr>
        <w:ind w:left="5760" w:hanging="360"/>
      </w:pPr>
      <w:rPr>
        <w:rFonts w:ascii="Courier New" w:hAnsi="Courier New" w:cs="Courier New" w:hint="default"/>
      </w:rPr>
    </w:lvl>
    <w:lvl w:ilvl="8" w:tplc="8ABE2492"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EE"/>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2E99"/>
    <w:rsid w:val="000532BD"/>
    <w:rsid w:val="00055C12"/>
    <w:rsid w:val="000608B0"/>
    <w:rsid w:val="0006104C"/>
    <w:rsid w:val="00064BF2"/>
    <w:rsid w:val="000667BA"/>
    <w:rsid w:val="000676A7"/>
    <w:rsid w:val="00073914"/>
    <w:rsid w:val="00074236"/>
    <w:rsid w:val="000746BD"/>
    <w:rsid w:val="00076D7D"/>
    <w:rsid w:val="00080D95"/>
    <w:rsid w:val="0008305F"/>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59E6"/>
    <w:rsid w:val="001968BC"/>
    <w:rsid w:val="001A0739"/>
    <w:rsid w:val="001A0F00"/>
    <w:rsid w:val="001A2BDD"/>
    <w:rsid w:val="001A3DDF"/>
    <w:rsid w:val="001A4310"/>
    <w:rsid w:val="001B053A"/>
    <w:rsid w:val="001B26D8"/>
    <w:rsid w:val="001B3BFA"/>
    <w:rsid w:val="001B75B8"/>
    <w:rsid w:val="001C1230"/>
    <w:rsid w:val="001C3422"/>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50AB"/>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D6D75"/>
    <w:rsid w:val="002E21B8"/>
    <w:rsid w:val="002E31E4"/>
    <w:rsid w:val="002E7DF9"/>
    <w:rsid w:val="002F097B"/>
    <w:rsid w:val="002F3111"/>
    <w:rsid w:val="002F3D88"/>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29C4"/>
    <w:rsid w:val="00343A92"/>
    <w:rsid w:val="00344530"/>
    <w:rsid w:val="003446DC"/>
    <w:rsid w:val="00347B4A"/>
    <w:rsid w:val="003500C3"/>
    <w:rsid w:val="003523BD"/>
    <w:rsid w:val="00352681"/>
    <w:rsid w:val="00352EE2"/>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A45F0"/>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5D"/>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0E40"/>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66D0"/>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258"/>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5A6C"/>
    <w:rsid w:val="006A6068"/>
    <w:rsid w:val="006B12AE"/>
    <w:rsid w:val="006B16B3"/>
    <w:rsid w:val="006B1918"/>
    <w:rsid w:val="006B233E"/>
    <w:rsid w:val="006B23D8"/>
    <w:rsid w:val="006B28D5"/>
    <w:rsid w:val="006B2A01"/>
    <w:rsid w:val="006B2B8C"/>
    <w:rsid w:val="006B2DEB"/>
    <w:rsid w:val="006B3927"/>
    <w:rsid w:val="006B54C5"/>
    <w:rsid w:val="006B5E80"/>
    <w:rsid w:val="006B605A"/>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3218"/>
    <w:rsid w:val="0079487D"/>
    <w:rsid w:val="007966D4"/>
    <w:rsid w:val="00796A0A"/>
    <w:rsid w:val="0079792C"/>
    <w:rsid w:val="007A0989"/>
    <w:rsid w:val="007A331F"/>
    <w:rsid w:val="007A3844"/>
    <w:rsid w:val="007A4381"/>
    <w:rsid w:val="007A5466"/>
    <w:rsid w:val="007A59CC"/>
    <w:rsid w:val="007A7EC1"/>
    <w:rsid w:val="007B4739"/>
    <w:rsid w:val="007B4FCA"/>
    <w:rsid w:val="007B7B85"/>
    <w:rsid w:val="007C462E"/>
    <w:rsid w:val="007C496B"/>
    <w:rsid w:val="007C6803"/>
    <w:rsid w:val="007D2892"/>
    <w:rsid w:val="007D2DCC"/>
    <w:rsid w:val="007D47E1"/>
    <w:rsid w:val="007D7582"/>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A6577"/>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1F85"/>
    <w:rsid w:val="009C2A33"/>
    <w:rsid w:val="009C2E49"/>
    <w:rsid w:val="009C36CD"/>
    <w:rsid w:val="009C43A5"/>
    <w:rsid w:val="009C5A1D"/>
    <w:rsid w:val="009C6B08"/>
    <w:rsid w:val="009C70FC"/>
    <w:rsid w:val="009D002B"/>
    <w:rsid w:val="009D37C7"/>
    <w:rsid w:val="009D4BBD"/>
    <w:rsid w:val="009D5A41"/>
    <w:rsid w:val="009E052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8660A"/>
    <w:rsid w:val="00A932BB"/>
    <w:rsid w:val="00A93579"/>
    <w:rsid w:val="00A93934"/>
    <w:rsid w:val="00A95D51"/>
    <w:rsid w:val="00AA18AE"/>
    <w:rsid w:val="00AA228B"/>
    <w:rsid w:val="00AA49B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07A5E"/>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0389"/>
    <w:rsid w:val="00B6104E"/>
    <w:rsid w:val="00B610C7"/>
    <w:rsid w:val="00B61871"/>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C89"/>
    <w:rsid w:val="00B96E87"/>
    <w:rsid w:val="00BA146A"/>
    <w:rsid w:val="00BA32EE"/>
    <w:rsid w:val="00BA4AB2"/>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4812"/>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6E8A"/>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65EC"/>
    <w:rsid w:val="00CA7D7B"/>
    <w:rsid w:val="00CB0131"/>
    <w:rsid w:val="00CB0AE4"/>
    <w:rsid w:val="00CB0C21"/>
    <w:rsid w:val="00CB0D1A"/>
    <w:rsid w:val="00CB3627"/>
    <w:rsid w:val="00CB4758"/>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2951"/>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762"/>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73F"/>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34C4"/>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130"/>
    <w:rsid w:val="00FA6403"/>
    <w:rsid w:val="00FB16CD"/>
    <w:rsid w:val="00FB73AE"/>
    <w:rsid w:val="00FC5388"/>
    <w:rsid w:val="00FC726C"/>
    <w:rsid w:val="00FD1B4B"/>
    <w:rsid w:val="00FD1B94"/>
    <w:rsid w:val="00FE19C5"/>
    <w:rsid w:val="00FE4286"/>
    <w:rsid w:val="00FE48C3"/>
    <w:rsid w:val="00FE5909"/>
    <w:rsid w:val="00FE652E"/>
    <w:rsid w:val="00FE71FE"/>
    <w:rsid w:val="00FE73E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2F0327-DEFF-4E71-9C32-59D4518B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60389"/>
    <w:rPr>
      <w:sz w:val="16"/>
      <w:szCs w:val="16"/>
    </w:rPr>
  </w:style>
  <w:style w:type="paragraph" w:styleId="CommentText">
    <w:name w:val="annotation text"/>
    <w:basedOn w:val="Normal"/>
    <w:link w:val="CommentTextChar"/>
    <w:semiHidden/>
    <w:unhideWhenUsed/>
    <w:rsid w:val="00B60389"/>
    <w:rPr>
      <w:sz w:val="20"/>
      <w:szCs w:val="20"/>
    </w:rPr>
  </w:style>
  <w:style w:type="character" w:customStyle="1" w:styleId="CommentTextChar">
    <w:name w:val="Comment Text Char"/>
    <w:basedOn w:val="DefaultParagraphFont"/>
    <w:link w:val="CommentText"/>
    <w:semiHidden/>
    <w:rsid w:val="00B60389"/>
  </w:style>
  <w:style w:type="paragraph" w:styleId="CommentSubject">
    <w:name w:val="annotation subject"/>
    <w:basedOn w:val="CommentText"/>
    <w:next w:val="CommentText"/>
    <w:link w:val="CommentSubjectChar"/>
    <w:semiHidden/>
    <w:unhideWhenUsed/>
    <w:rsid w:val="00B60389"/>
    <w:rPr>
      <w:b/>
      <w:bCs/>
    </w:rPr>
  </w:style>
  <w:style w:type="character" w:customStyle="1" w:styleId="CommentSubjectChar">
    <w:name w:val="Comment Subject Char"/>
    <w:basedOn w:val="CommentTextChar"/>
    <w:link w:val="CommentSubject"/>
    <w:semiHidden/>
    <w:rsid w:val="00B60389"/>
    <w:rPr>
      <w:b/>
      <w:bCs/>
    </w:rPr>
  </w:style>
  <w:style w:type="character" w:styleId="Hyperlink">
    <w:name w:val="Hyperlink"/>
    <w:basedOn w:val="DefaultParagraphFont"/>
    <w:unhideWhenUsed/>
    <w:rsid w:val="00B60389"/>
    <w:rPr>
      <w:color w:val="0000FF" w:themeColor="hyperlink"/>
      <w:u w:val="single"/>
    </w:rPr>
  </w:style>
  <w:style w:type="paragraph" w:styleId="ListParagraph">
    <w:name w:val="List Paragraph"/>
    <w:basedOn w:val="Normal"/>
    <w:uiPriority w:val="34"/>
    <w:qFormat/>
    <w:rsid w:val="00B61871"/>
    <w:pPr>
      <w:ind w:left="720"/>
      <w:contextualSpacing/>
    </w:pPr>
  </w:style>
  <w:style w:type="character" w:styleId="FollowedHyperlink">
    <w:name w:val="FollowedHyperlink"/>
    <w:basedOn w:val="DefaultParagraphFont"/>
    <w:semiHidden/>
    <w:unhideWhenUsed/>
    <w:rsid w:val="007B4739"/>
    <w:rPr>
      <w:color w:val="800080" w:themeColor="followedHyperlink"/>
      <w:u w:val="single"/>
    </w:rPr>
  </w:style>
  <w:style w:type="paragraph" w:styleId="Revision">
    <w:name w:val="Revision"/>
    <w:hidden/>
    <w:uiPriority w:val="99"/>
    <w:semiHidden/>
    <w:rsid w:val="001F50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886</Words>
  <Characters>4860</Characters>
  <Application>Microsoft Office Word</Application>
  <DocSecurity>4</DocSecurity>
  <Lines>111</Lines>
  <Paragraphs>32</Paragraphs>
  <ScaleCrop>false</ScaleCrop>
  <HeadingPairs>
    <vt:vector size="2" baseType="variant">
      <vt:variant>
        <vt:lpstr>Title</vt:lpstr>
      </vt:variant>
      <vt:variant>
        <vt:i4>1</vt:i4>
      </vt:variant>
    </vt:vector>
  </HeadingPairs>
  <TitlesOfParts>
    <vt:vector size="1" baseType="lpstr">
      <vt:lpstr>BA - HB01284 (Committee Report (Substituted))</vt:lpstr>
    </vt:vector>
  </TitlesOfParts>
  <Company>State of Texas</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17155</dc:subject>
  <dc:creator>State of Texas</dc:creator>
  <dc:description>HB 1284 by Paddie-(H)Energy Resources (Substitute Document Number: 87R 11185)</dc:description>
  <cp:lastModifiedBy>Damian Duarte</cp:lastModifiedBy>
  <cp:revision>2</cp:revision>
  <cp:lastPrinted>2003-11-26T17:21:00Z</cp:lastPrinted>
  <dcterms:created xsi:type="dcterms:W3CDTF">2021-04-13T01:12:00Z</dcterms:created>
  <dcterms:modified xsi:type="dcterms:W3CDTF">2021-04-13T01:12:00Z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21.86.112</vt:lpwstr>
  </property>
</Properties>
</file>