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858F8" w14:paraId="6CF3E772" w14:textId="77777777" w:rsidTr="00345119">
        <w:tc>
          <w:tcPr>
            <w:tcW w:w="9576" w:type="dxa"/>
            <w:noWrap/>
          </w:tcPr>
          <w:p w14:paraId="4C90E026" w14:textId="77777777" w:rsidR="008423E4" w:rsidRPr="0022177D" w:rsidRDefault="008A3DC0" w:rsidP="00312CE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02F1DB" w14:textId="77777777" w:rsidR="008423E4" w:rsidRPr="0022177D" w:rsidRDefault="008423E4" w:rsidP="00312CEF">
      <w:pPr>
        <w:jc w:val="center"/>
      </w:pPr>
    </w:p>
    <w:p w14:paraId="600538B2" w14:textId="77777777" w:rsidR="008423E4" w:rsidRPr="00B31F0E" w:rsidRDefault="008423E4" w:rsidP="00312CEF"/>
    <w:p w14:paraId="435CF236" w14:textId="77777777" w:rsidR="008423E4" w:rsidRPr="00742794" w:rsidRDefault="008423E4" w:rsidP="00312CE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58F8" w14:paraId="1B9A4668" w14:textId="77777777" w:rsidTr="00345119">
        <w:tc>
          <w:tcPr>
            <w:tcW w:w="9576" w:type="dxa"/>
          </w:tcPr>
          <w:p w14:paraId="5FC4CA85" w14:textId="7F49F159" w:rsidR="008423E4" w:rsidRPr="00861995" w:rsidRDefault="008A3DC0" w:rsidP="00312CEF">
            <w:pPr>
              <w:jc w:val="right"/>
            </w:pPr>
            <w:r>
              <w:t>H.B. 1295</w:t>
            </w:r>
          </w:p>
        </w:tc>
      </w:tr>
      <w:tr w:rsidR="00C858F8" w14:paraId="74891F0F" w14:textId="77777777" w:rsidTr="00345119">
        <w:tc>
          <w:tcPr>
            <w:tcW w:w="9576" w:type="dxa"/>
          </w:tcPr>
          <w:p w14:paraId="088BC173" w14:textId="7C8567AA" w:rsidR="008423E4" w:rsidRPr="00861995" w:rsidRDefault="008A3DC0" w:rsidP="00312CEF">
            <w:pPr>
              <w:jc w:val="right"/>
            </w:pPr>
            <w:r>
              <w:t xml:space="preserve">By: </w:t>
            </w:r>
            <w:r w:rsidR="00176112">
              <w:t>Rodriguez</w:t>
            </w:r>
          </w:p>
        </w:tc>
      </w:tr>
      <w:tr w:rsidR="00C858F8" w14:paraId="0C03FB8B" w14:textId="77777777" w:rsidTr="00345119">
        <w:tc>
          <w:tcPr>
            <w:tcW w:w="9576" w:type="dxa"/>
          </w:tcPr>
          <w:p w14:paraId="4B796AD3" w14:textId="2664DED9" w:rsidR="008423E4" w:rsidRPr="00861995" w:rsidRDefault="008A3DC0" w:rsidP="00312CEF">
            <w:pPr>
              <w:jc w:val="right"/>
            </w:pPr>
            <w:r>
              <w:t>Urban Affairs</w:t>
            </w:r>
          </w:p>
        </w:tc>
      </w:tr>
      <w:tr w:rsidR="00C858F8" w14:paraId="16BF0A47" w14:textId="77777777" w:rsidTr="00345119">
        <w:tc>
          <w:tcPr>
            <w:tcW w:w="9576" w:type="dxa"/>
          </w:tcPr>
          <w:p w14:paraId="0FD5C3A3" w14:textId="1C8E8371" w:rsidR="008423E4" w:rsidRDefault="008A3DC0" w:rsidP="00312CEF">
            <w:pPr>
              <w:jc w:val="right"/>
            </w:pPr>
            <w:r>
              <w:t>Committee Report (Unamended)</w:t>
            </w:r>
          </w:p>
        </w:tc>
      </w:tr>
    </w:tbl>
    <w:p w14:paraId="39F9F2E7" w14:textId="77777777" w:rsidR="008423E4" w:rsidRDefault="008423E4" w:rsidP="00312CEF">
      <w:pPr>
        <w:tabs>
          <w:tab w:val="right" w:pos="9360"/>
        </w:tabs>
      </w:pPr>
    </w:p>
    <w:p w14:paraId="44E848BB" w14:textId="77777777" w:rsidR="008423E4" w:rsidRDefault="008423E4" w:rsidP="00312CEF"/>
    <w:p w14:paraId="1E3B0C58" w14:textId="77777777" w:rsidR="008423E4" w:rsidRDefault="008423E4" w:rsidP="00312CE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858F8" w14:paraId="02A9809B" w14:textId="77777777" w:rsidTr="00345119">
        <w:tc>
          <w:tcPr>
            <w:tcW w:w="9576" w:type="dxa"/>
          </w:tcPr>
          <w:p w14:paraId="5A5560B6" w14:textId="77777777" w:rsidR="008423E4" w:rsidRPr="00A8133F" w:rsidRDefault="008A3DC0" w:rsidP="00312C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6C10AB" w14:textId="77777777" w:rsidR="008423E4" w:rsidRDefault="008423E4" w:rsidP="00312CEF"/>
          <w:p w14:paraId="04C82ED7" w14:textId="1A777F23" w:rsidR="008423E4" w:rsidRDefault="008A3DC0" w:rsidP="00312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21F71">
              <w:t>In recent years, certain affordable housing developments support</w:t>
            </w:r>
            <w:r>
              <w:t>ed by</w:t>
            </w:r>
            <w:r w:rsidRPr="00921F71">
              <w:t xml:space="preserve"> local leaders and the community have been unable to receive low</w:t>
            </w:r>
            <w:r w:rsidR="000917D8">
              <w:t xml:space="preserve"> </w:t>
            </w:r>
            <w:r w:rsidRPr="00921F71">
              <w:t>income housing tax credits because the developments were located within two linear miles of another development receiving housing tax credits in the same community. Local leaders</w:t>
            </w:r>
            <w:r w:rsidR="00507635">
              <w:t>, builders,</w:t>
            </w:r>
            <w:r w:rsidRPr="00921F71">
              <w:t xml:space="preserve"> and affordable housing advocates have identified th</w:t>
            </w:r>
            <w:r>
              <w:t>is</w:t>
            </w:r>
            <w:r w:rsidRPr="00921F71">
              <w:t xml:space="preserve"> "two-mile ru</w:t>
            </w:r>
            <w:r w:rsidRPr="00921F71">
              <w:t>le" as a barrier to building locally supported affordable housing developments in high-opportunity areas where there is demonstrated need.</w:t>
            </w:r>
            <w:r w:rsidR="007C096D">
              <w:t xml:space="preserve"> While t</w:t>
            </w:r>
            <w:r w:rsidRPr="00921F71">
              <w:t>his well</w:t>
            </w:r>
            <w:r w:rsidR="00945959">
              <w:noBreakHyphen/>
            </w:r>
            <w:r w:rsidRPr="00921F71">
              <w:t>intentioned rule was designed to prevent affordable housing developments from being concentrated in l</w:t>
            </w:r>
            <w:r w:rsidRPr="00921F71">
              <w:t xml:space="preserve">ow-opportunity areas, </w:t>
            </w:r>
            <w:r>
              <w:t xml:space="preserve">it has been suggested </w:t>
            </w:r>
            <w:r w:rsidRPr="00921F71">
              <w:t xml:space="preserve">that </w:t>
            </w:r>
            <w:r>
              <w:t>state law governing these developments</w:t>
            </w:r>
            <w:r w:rsidRPr="00921F71">
              <w:t xml:space="preserve"> needs updating to account for the increased density and growing need for affordable housing in high-opportunity areas.</w:t>
            </w:r>
            <w:r>
              <w:t xml:space="preserve"> </w:t>
            </w:r>
            <w:r w:rsidRPr="00921F71">
              <w:t>H</w:t>
            </w:r>
            <w:r>
              <w:t>.</w:t>
            </w:r>
            <w:r w:rsidRPr="00921F71">
              <w:t>B</w:t>
            </w:r>
            <w:r>
              <w:t>.</w:t>
            </w:r>
            <w:r w:rsidRPr="00921F71">
              <w:t xml:space="preserve"> 1295 seeks to </w:t>
            </w:r>
            <w:r>
              <w:t>address</w:t>
            </w:r>
            <w:r w:rsidRPr="00921F71">
              <w:t xml:space="preserve"> th</w:t>
            </w:r>
            <w:r w:rsidR="007C096D">
              <w:t>is</w:t>
            </w:r>
            <w:r w:rsidRPr="00921F71">
              <w:t xml:space="preserve"> issue by </w:t>
            </w:r>
            <w:r>
              <w:t>providin</w:t>
            </w:r>
            <w:r>
              <w:t>g for</w:t>
            </w:r>
            <w:r w:rsidRPr="00921F71">
              <w:t xml:space="preserve"> the allocation of housing tax credits to an affordable housing development within two linear miles of another development receiving housing tax credits in the same community </w:t>
            </w:r>
            <w:r w:rsidR="00507635">
              <w:t>under certain conditions</w:t>
            </w:r>
            <w:r w:rsidRPr="00921F71">
              <w:t>.</w:t>
            </w:r>
          </w:p>
          <w:p w14:paraId="0EB9A2DC" w14:textId="77777777" w:rsidR="008423E4" w:rsidRPr="00E26B13" w:rsidRDefault="008423E4" w:rsidP="00312CEF">
            <w:pPr>
              <w:rPr>
                <w:b/>
              </w:rPr>
            </w:pPr>
          </w:p>
        </w:tc>
      </w:tr>
      <w:tr w:rsidR="00C858F8" w14:paraId="08779EDC" w14:textId="77777777" w:rsidTr="00345119">
        <w:tc>
          <w:tcPr>
            <w:tcW w:w="9576" w:type="dxa"/>
          </w:tcPr>
          <w:p w14:paraId="3BB77401" w14:textId="77777777" w:rsidR="0017725B" w:rsidRDefault="008A3DC0" w:rsidP="00312C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7EA1EF7" w14:textId="77777777" w:rsidR="0017725B" w:rsidRDefault="0017725B" w:rsidP="00312CEF">
            <w:pPr>
              <w:rPr>
                <w:b/>
                <w:u w:val="single"/>
              </w:rPr>
            </w:pPr>
          </w:p>
          <w:p w14:paraId="3BB2909E" w14:textId="77777777" w:rsidR="00634CE9" w:rsidRPr="00634CE9" w:rsidRDefault="008A3DC0" w:rsidP="00312CEF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C62E1A7" w14:textId="77777777" w:rsidR="0017725B" w:rsidRPr="0017725B" w:rsidRDefault="0017725B" w:rsidP="00312CEF">
            <w:pPr>
              <w:rPr>
                <w:b/>
                <w:u w:val="single"/>
              </w:rPr>
            </w:pPr>
          </w:p>
        </w:tc>
      </w:tr>
      <w:tr w:rsidR="00C858F8" w14:paraId="21975C91" w14:textId="77777777" w:rsidTr="00345119">
        <w:tc>
          <w:tcPr>
            <w:tcW w:w="9576" w:type="dxa"/>
          </w:tcPr>
          <w:p w14:paraId="70161391" w14:textId="77777777" w:rsidR="008423E4" w:rsidRPr="00A8133F" w:rsidRDefault="008A3DC0" w:rsidP="00312C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19F9A3FB" w14:textId="77777777" w:rsidR="008423E4" w:rsidRDefault="008423E4" w:rsidP="00312CEF"/>
          <w:p w14:paraId="191482DE" w14:textId="77777777" w:rsidR="00634CE9" w:rsidRDefault="008A3DC0" w:rsidP="00312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2ED3858" w14:textId="77777777" w:rsidR="008423E4" w:rsidRPr="00E21FDC" w:rsidRDefault="008423E4" w:rsidP="00312CEF">
            <w:pPr>
              <w:rPr>
                <w:b/>
              </w:rPr>
            </w:pPr>
          </w:p>
        </w:tc>
      </w:tr>
      <w:tr w:rsidR="00C858F8" w14:paraId="296F8F50" w14:textId="77777777" w:rsidTr="00345119">
        <w:tc>
          <w:tcPr>
            <w:tcW w:w="9576" w:type="dxa"/>
          </w:tcPr>
          <w:p w14:paraId="46C6DCEC" w14:textId="77777777" w:rsidR="008423E4" w:rsidRPr="00A8133F" w:rsidRDefault="008A3DC0" w:rsidP="00312C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16370E" w14:textId="77777777" w:rsidR="008423E4" w:rsidRDefault="008423E4" w:rsidP="00312CEF"/>
          <w:p w14:paraId="2D4AEE73" w14:textId="77777777" w:rsidR="00207C80" w:rsidRDefault="008A3DC0" w:rsidP="00312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1295 amends the </w:t>
            </w:r>
            <w:r w:rsidRPr="00207C80">
              <w:t>Government Code</w:t>
            </w:r>
            <w:r>
              <w:t xml:space="preserve"> to authorize the </w:t>
            </w:r>
            <w:r w:rsidRPr="00207C80">
              <w:t>governing board of the Texas Department of Hou</w:t>
            </w:r>
            <w:r>
              <w:t>sing and Community Affairs (</w:t>
            </w:r>
            <w:r w:rsidRPr="00207C80">
              <w:t>TDHCA)</w:t>
            </w:r>
            <w:r>
              <w:t xml:space="preserve"> to allocate housing tax credits under the </w:t>
            </w:r>
            <w:r w:rsidRPr="00207C80">
              <w:t>low income housing tax credit program</w:t>
            </w:r>
            <w:r>
              <w:t xml:space="preserve"> to more than one developme</w:t>
            </w:r>
            <w:r w:rsidR="0023201A">
              <w:t>nt in a single community</w:t>
            </w:r>
            <w:r>
              <w:t xml:space="preserve"> under the following conditions:</w:t>
            </w:r>
          </w:p>
          <w:p w14:paraId="2EAA8DDE" w14:textId="77777777" w:rsidR="00207C80" w:rsidRDefault="008A3DC0" w:rsidP="00312CE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at least one</w:t>
            </w:r>
            <w:r>
              <w:t xml:space="preserve"> of the developments will be located wholly within a census tract in which the median value of owner-occupied homes has increased by 15 percent or more within the five years preceding the date of the application;</w:t>
            </w:r>
          </w:p>
          <w:p w14:paraId="60113A30" w14:textId="77777777" w:rsidR="00207C80" w:rsidRDefault="008A3DC0" w:rsidP="00312CE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governing body of the municipality cont</w:t>
            </w:r>
            <w:r>
              <w:t>aining the development or, if located outside a municipality, the county containing the development adopts a resolution that references applicable statutory provisions and authorizes an allocation of housing tax credits for the development; and</w:t>
            </w:r>
          </w:p>
          <w:p w14:paraId="0FF23AA7" w14:textId="795E6B1F" w:rsidR="00207C80" w:rsidRDefault="008A3DC0" w:rsidP="00312C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applica</w:t>
            </w:r>
            <w:r>
              <w:t xml:space="preserve">nt for the development includes </w:t>
            </w:r>
            <w:r w:rsidR="001D1D7F">
              <w:t xml:space="preserve">a copy of the resolution </w:t>
            </w:r>
            <w:r>
              <w:t>in the application.</w:t>
            </w:r>
          </w:p>
          <w:p w14:paraId="5AC0CBC5" w14:textId="77777777" w:rsidR="00207C80" w:rsidRDefault="00207C80" w:rsidP="00312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5619C3" w14:textId="77777777" w:rsidR="0023201A" w:rsidRDefault="008A3DC0" w:rsidP="00312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1295 </w:t>
            </w:r>
            <w:r w:rsidRPr="0023201A">
              <w:t>applies only to an application for low income housing tax credits that is submitted to the TDHCA</w:t>
            </w:r>
            <w:r>
              <w:t xml:space="preserve"> </w:t>
            </w:r>
            <w:r w:rsidRPr="0023201A">
              <w:t>during an application cycle that is based on the 2022 qualified allocat</w:t>
            </w:r>
            <w:r w:rsidRPr="0023201A">
              <w:t>ion plan or a subsequent plan adopted by the TDHCA</w:t>
            </w:r>
            <w:r>
              <w:t xml:space="preserve"> </w:t>
            </w:r>
            <w:r w:rsidRPr="0023201A">
              <w:t>governing board.</w:t>
            </w:r>
          </w:p>
          <w:p w14:paraId="4F271578" w14:textId="77777777" w:rsidR="008423E4" w:rsidRPr="00835628" w:rsidRDefault="008423E4" w:rsidP="00312CEF">
            <w:pPr>
              <w:rPr>
                <w:b/>
              </w:rPr>
            </w:pPr>
          </w:p>
        </w:tc>
      </w:tr>
      <w:tr w:rsidR="00C858F8" w14:paraId="2796E2B5" w14:textId="77777777" w:rsidTr="00345119">
        <w:tc>
          <w:tcPr>
            <w:tcW w:w="9576" w:type="dxa"/>
          </w:tcPr>
          <w:p w14:paraId="37D9A710" w14:textId="77777777" w:rsidR="008423E4" w:rsidRPr="00A8133F" w:rsidRDefault="008A3DC0" w:rsidP="00312C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3EAD0BA" w14:textId="77777777" w:rsidR="008423E4" w:rsidRDefault="008423E4" w:rsidP="00312CEF"/>
          <w:p w14:paraId="52564716" w14:textId="77777777" w:rsidR="008423E4" w:rsidRPr="003624F2" w:rsidRDefault="008A3DC0" w:rsidP="00312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F1F6D3" w14:textId="77777777" w:rsidR="008423E4" w:rsidRPr="00233FDB" w:rsidRDefault="008423E4" w:rsidP="00312CEF">
            <w:pPr>
              <w:rPr>
                <w:b/>
              </w:rPr>
            </w:pPr>
          </w:p>
        </w:tc>
      </w:tr>
    </w:tbl>
    <w:p w14:paraId="6283FC5D" w14:textId="77777777" w:rsidR="008423E4" w:rsidRPr="00BE0E75" w:rsidRDefault="008423E4" w:rsidP="00312CEF">
      <w:pPr>
        <w:jc w:val="both"/>
        <w:rPr>
          <w:rFonts w:ascii="Arial" w:hAnsi="Arial"/>
          <w:sz w:val="16"/>
          <w:szCs w:val="16"/>
        </w:rPr>
      </w:pPr>
    </w:p>
    <w:p w14:paraId="7C7567FA" w14:textId="77777777" w:rsidR="004108C3" w:rsidRPr="008423E4" w:rsidRDefault="004108C3" w:rsidP="00312CE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E826" w14:textId="77777777" w:rsidR="00000000" w:rsidRDefault="008A3DC0">
      <w:r>
        <w:separator/>
      </w:r>
    </w:p>
  </w:endnote>
  <w:endnote w:type="continuationSeparator" w:id="0">
    <w:p w14:paraId="4C545196" w14:textId="77777777" w:rsidR="00000000" w:rsidRDefault="008A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97E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58F8" w14:paraId="1D6F4D9F" w14:textId="77777777" w:rsidTr="009C1E9A">
      <w:trPr>
        <w:cantSplit/>
      </w:trPr>
      <w:tc>
        <w:tcPr>
          <w:tcW w:w="0" w:type="pct"/>
        </w:tcPr>
        <w:p w14:paraId="557AC3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B377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FAA8E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2DB6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FC7C2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58F8" w14:paraId="231C1B27" w14:textId="77777777" w:rsidTr="009C1E9A">
      <w:trPr>
        <w:cantSplit/>
      </w:trPr>
      <w:tc>
        <w:tcPr>
          <w:tcW w:w="0" w:type="pct"/>
        </w:tcPr>
        <w:p w14:paraId="52019A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86E8F5" w14:textId="601C3150" w:rsidR="00EC379B" w:rsidRPr="009C1E9A" w:rsidRDefault="008A3D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18337</w:t>
          </w:r>
        </w:p>
      </w:tc>
      <w:tc>
        <w:tcPr>
          <w:tcW w:w="2453" w:type="pct"/>
        </w:tcPr>
        <w:p w14:paraId="2CA3CDD4" w14:textId="10193A94" w:rsidR="00EC379B" w:rsidRDefault="008A3D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12CEF">
            <w:t>21.95.1194</w:t>
          </w:r>
          <w:r>
            <w:fldChar w:fldCharType="end"/>
          </w:r>
        </w:p>
      </w:tc>
    </w:tr>
    <w:tr w:rsidR="00C858F8" w14:paraId="43505EB6" w14:textId="77777777" w:rsidTr="009C1E9A">
      <w:trPr>
        <w:cantSplit/>
      </w:trPr>
      <w:tc>
        <w:tcPr>
          <w:tcW w:w="0" w:type="pct"/>
        </w:tcPr>
        <w:p w14:paraId="084A788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BFF2A0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6FB93C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61E9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58F8" w14:paraId="3A3D5C8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4E334C" w14:textId="157B966A" w:rsidR="00EC379B" w:rsidRDefault="008A3D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12CE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C12D9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13DEC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96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805D" w14:textId="77777777" w:rsidR="00000000" w:rsidRDefault="008A3DC0">
      <w:r>
        <w:separator/>
      </w:r>
    </w:p>
  </w:footnote>
  <w:footnote w:type="continuationSeparator" w:id="0">
    <w:p w14:paraId="301E41A5" w14:textId="77777777" w:rsidR="00000000" w:rsidRDefault="008A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AC7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86F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E15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208E"/>
    <w:multiLevelType w:val="hybridMultilevel"/>
    <w:tmpl w:val="EBB62578"/>
    <w:lvl w:ilvl="0" w:tplc="2BBACE9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248429C0" w:tentative="1">
      <w:start w:val="1"/>
      <w:numFmt w:val="lowerLetter"/>
      <w:lvlText w:val="%2."/>
      <w:lvlJc w:val="left"/>
      <w:pPr>
        <w:ind w:left="1440" w:hanging="360"/>
      </w:pPr>
    </w:lvl>
    <w:lvl w:ilvl="2" w:tplc="F8AA2864" w:tentative="1">
      <w:start w:val="1"/>
      <w:numFmt w:val="lowerRoman"/>
      <w:lvlText w:val="%3."/>
      <w:lvlJc w:val="right"/>
      <w:pPr>
        <w:ind w:left="2160" w:hanging="180"/>
      </w:pPr>
    </w:lvl>
    <w:lvl w:ilvl="3" w:tplc="FC365538" w:tentative="1">
      <w:start w:val="1"/>
      <w:numFmt w:val="decimal"/>
      <w:lvlText w:val="%4."/>
      <w:lvlJc w:val="left"/>
      <w:pPr>
        <w:ind w:left="2880" w:hanging="360"/>
      </w:pPr>
    </w:lvl>
    <w:lvl w:ilvl="4" w:tplc="C4A20220" w:tentative="1">
      <w:start w:val="1"/>
      <w:numFmt w:val="lowerLetter"/>
      <w:lvlText w:val="%5."/>
      <w:lvlJc w:val="left"/>
      <w:pPr>
        <w:ind w:left="3600" w:hanging="360"/>
      </w:pPr>
    </w:lvl>
    <w:lvl w:ilvl="5" w:tplc="C83411C6" w:tentative="1">
      <w:start w:val="1"/>
      <w:numFmt w:val="lowerRoman"/>
      <w:lvlText w:val="%6."/>
      <w:lvlJc w:val="right"/>
      <w:pPr>
        <w:ind w:left="4320" w:hanging="180"/>
      </w:pPr>
    </w:lvl>
    <w:lvl w:ilvl="6" w:tplc="16088002" w:tentative="1">
      <w:start w:val="1"/>
      <w:numFmt w:val="decimal"/>
      <w:lvlText w:val="%7."/>
      <w:lvlJc w:val="left"/>
      <w:pPr>
        <w:ind w:left="5040" w:hanging="360"/>
      </w:pPr>
    </w:lvl>
    <w:lvl w:ilvl="7" w:tplc="70CE0E1C" w:tentative="1">
      <w:start w:val="1"/>
      <w:numFmt w:val="lowerLetter"/>
      <w:lvlText w:val="%8."/>
      <w:lvlJc w:val="left"/>
      <w:pPr>
        <w:ind w:left="5760" w:hanging="360"/>
      </w:pPr>
    </w:lvl>
    <w:lvl w:ilvl="8" w:tplc="B83EC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604E"/>
    <w:multiLevelType w:val="hybridMultilevel"/>
    <w:tmpl w:val="CA526642"/>
    <w:lvl w:ilvl="0" w:tplc="E1F07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C2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6E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83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47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42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6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43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48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7D8"/>
    <w:rsid w:val="00091B2C"/>
    <w:rsid w:val="00092ABC"/>
    <w:rsid w:val="00097AAF"/>
    <w:rsid w:val="00097D13"/>
    <w:rsid w:val="000A4893"/>
    <w:rsid w:val="000A54E0"/>
    <w:rsid w:val="000A59A1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112"/>
    <w:rsid w:val="0017725B"/>
    <w:rsid w:val="0018050C"/>
    <w:rsid w:val="0018117F"/>
    <w:rsid w:val="001824ED"/>
    <w:rsid w:val="00183262"/>
    <w:rsid w:val="00184B03"/>
    <w:rsid w:val="00185C59"/>
    <w:rsid w:val="00187877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D7F"/>
    <w:rsid w:val="001D1F65"/>
    <w:rsid w:val="001D2A01"/>
    <w:rsid w:val="001D2EF6"/>
    <w:rsid w:val="001D37A8"/>
    <w:rsid w:val="001D462E"/>
    <w:rsid w:val="001E030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C80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01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23A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CEF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635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BF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599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CE9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96D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836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DC0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F71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95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CA4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4E73"/>
    <w:rsid w:val="00A572B1"/>
    <w:rsid w:val="00A577AF"/>
    <w:rsid w:val="00A60177"/>
    <w:rsid w:val="00A61C27"/>
    <w:rsid w:val="00A6344D"/>
    <w:rsid w:val="00A644B8"/>
    <w:rsid w:val="00A6718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AFD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C8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774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8F8"/>
    <w:rsid w:val="00C9047F"/>
    <w:rsid w:val="00C91C2A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EE2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77D"/>
    <w:rsid w:val="00F7518C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F50636-807F-492D-A124-121F1BC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7C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7C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C80"/>
    <w:rPr>
      <w:b/>
      <w:bCs/>
    </w:rPr>
  </w:style>
  <w:style w:type="character" w:styleId="Hyperlink">
    <w:name w:val="Hyperlink"/>
    <w:basedOn w:val="DefaultParagraphFont"/>
    <w:unhideWhenUsed/>
    <w:rsid w:val="00207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75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2453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HB01295 (Committee Report (Unamended))</vt:lpstr>
    </vt:vector>
  </TitlesOfParts>
  <Company>State of Texas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18337</dc:subject>
  <dc:creator>State of Texas</dc:creator>
  <dc:description>HB 1295 by Rodriguez-(H)Urban Affairs</dc:description>
  <cp:lastModifiedBy>Lauren Bustamente</cp:lastModifiedBy>
  <cp:revision>2</cp:revision>
  <cp:lastPrinted>2003-11-26T17:21:00Z</cp:lastPrinted>
  <dcterms:created xsi:type="dcterms:W3CDTF">2021-04-08T20:41:00Z</dcterms:created>
  <dcterms:modified xsi:type="dcterms:W3CDTF">2021-04-08T20:41:00Z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21.95.1194</vt:lpwstr>
  </property>
</Properties>
</file>