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6585" w14:paraId="4F3C97D7" w14:textId="77777777" w:rsidTr="0085616B">
        <w:tc>
          <w:tcPr>
            <w:tcW w:w="9576" w:type="dxa"/>
            <w:noWrap/>
          </w:tcPr>
          <w:p w14:paraId="6FD81222" w14:textId="77777777" w:rsidR="008423E4" w:rsidRPr="0022177D" w:rsidRDefault="005F68DF" w:rsidP="0051224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299E5C0" w14:textId="77777777" w:rsidR="008423E4" w:rsidRPr="0022177D" w:rsidRDefault="008423E4" w:rsidP="00512242">
      <w:pPr>
        <w:jc w:val="center"/>
      </w:pPr>
    </w:p>
    <w:p w14:paraId="450FDE00" w14:textId="77777777" w:rsidR="008423E4" w:rsidRPr="00B31F0E" w:rsidRDefault="008423E4" w:rsidP="00512242"/>
    <w:p w14:paraId="0CC48B62" w14:textId="77777777" w:rsidR="008423E4" w:rsidRPr="00742794" w:rsidRDefault="008423E4" w:rsidP="0051224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6585" w14:paraId="59435AD8" w14:textId="77777777" w:rsidTr="0085616B">
        <w:tc>
          <w:tcPr>
            <w:tcW w:w="9576" w:type="dxa"/>
          </w:tcPr>
          <w:p w14:paraId="6B23D8DC" w14:textId="77777777" w:rsidR="008423E4" w:rsidRPr="00861995" w:rsidRDefault="005F68DF" w:rsidP="00512242">
            <w:pPr>
              <w:jc w:val="right"/>
            </w:pPr>
            <w:r>
              <w:t>C.S.H.B. 1365</w:t>
            </w:r>
          </w:p>
        </w:tc>
      </w:tr>
      <w:tr w:rsidR="00E36585" w14:paraId="27549CEC" w14:textId="77777777" w:rsidTr="0085616B">
        <w:tc>
          <w:tcPr>
            <w:tcW w:w="9576" w:type="dxa"/>
          </w:tcPr>
          <w:p w14:paraId="0800F21B" w14:textId="77777777" w:rsidR="008423E4" w:rsidRPr="00861995" w:rsidRDefault="005F68DF" w:rsidP="00512242">
            <w:pPr>
              <w:jc w:val="right"/>
            </w:pPr>
            <w:r>
              <w:t xml:space="preserve">By: </w:t>
            </w:r>
            <w:r w:rsidR="00DA5AD2">
              <w:t>Clardy</w:t>
            </w:r>
          </w:p>
        </w:tc>
      </w:tr>
      <w:tr w:rsidR="00E36585" w14:paraId="5F5D1C3B" w14:textId="77777777" w:rsidTr="0085616B">
        <w:tc>
          <w:tcPr>
            <w:tcW w:w="9576" w:type="dxa"/>
          </w:tcPr>
          <w:p w14:paraId="7414DC87" w14:textId="77777777" w:rsidR="008423E4" w:rsidRPr="00861995" w:rsidRDefault="005F68DF" w:rsidP="00512242">
            <w:pPr>
              <w:jc w:val="right"/>
            </w:pPr>
            <w:r>
              <w:t>Judiciary &amp; Civil Jurisprudence</w:t>
            </w:r>
          </w:p>
        </w:tc>
      </w:tr>
      <w:tr w:rsidR="00E36585" w14:paraId="2C84126A" w14:textId="77777777" w:rsidTr="0085616B">
        <w:tc>
          <w:tcPr>
            <w:tcW w:w="9576" w:type="dxa"/>
          </w:tcPr>
          <w:p w14:paraId="1210E093" w14:textId="77777777" w:rsidR="008423E4" w:rsidRDefault="005F68DF" w:rsidP="00512242">
            <w:pPr>
              <w:jc w:val="right"/>
            </w:pPr>
            <w:r>
              <w:t>Committee Report (Substituted)</w:t>
            </w:r>
          </w:p>
        </w:tc>
      </w:tr>
    </w:tbl>
    <w:p w14:paraId="61C32A06" w14:textId="77777777" w:rsidR="008423E4" w:rsidRDefault="008423E4" w:rsidP="00512242">
      <w:pPr>
        <w:tabs>
          <w:tab w:val="right" w:pos="9360"/>
        </w:tabs>
      </w:pPr>
    </w:p>
    <w:p w14:paraId="173006E4" w14:textId="77777777" w:rsidR="008423E4" w:rsidRDefault="008423E4" w:rsidP="00512242"/>
    <w:p w14:paraId="28852315" w14:textId="77777777" w:rsidR="008423E4" w:rsidRDefault="008423E4" w:rsidP="0051224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6585" w14:paraId="3A0514C6" w14:textId="77777777" w:rsidTr="0069174D">
        <w:tc>
          <w:tcPr>
            <w:tcW w:w="9360" w:type="dxa"/>
          </w:tcPr>
          <w:p w14:paraId="169FB6B2" w14:textId="77777777" w:rsidR="008423E4" w:rsidRPr="00A8133F" w:rsidRDefault="005F68DF" w:rsidP="005122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308AE2" w14:textId="77777777" w:rsidR="008423E4" w:rsidRDefault="008423E4" w:rsidP="00512242"/>
          <w:p w14:paraId="494CA6C4" w14:textId="7D268530" w:rsidR="008423E4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 w:rsidR="00DA5AD2" w:rsidRPr="00DA5AD2">
              <w:t xml:space="preserve">here are minimal statutory requirements </w:t>
            </w:r>
            <w:r>
              <w:t xml:space="preserve">relating to the transfer of </w:t>
            </w:r>
            <w:r w:rsidR="00DA5AD2" w:rsidRPr="00DA5AD2">
              <w:t xml:space="preserve">court case records between clerks and counties. </w:t>
            </w:r>
            <w:r w:rsidR="0029777B">
              <w:t>Furthermore, i</w:t>
            </w:r>
            <w:r w:rsidR="00DA5AD2" w:rsidRPr="00DA5AD2">
              <w:t>nconsistenc</w:t>
            </w:r>
            <w:r w:rsidR="0029777B">
              <w:t>ies</w:t>
            </w:r>
            <w:r w:rsidR="00DA5AD2" w:rsidRPr="00DA5AD2">
              <w:t xml:space="preserve"> exist regarding</w:t>
            </w:r>
            <w:r w:rsidR="0029777B">
              <w:t xml:space="preserve"> the method by which the transferring clerk must send documents and the</w:t>
            </w:r>
            <w:r w:rsidR="00DA5AD2" w:rsidRPr="00DA5AD2">
              <w:t xml:space="preserve"> documents the receiving clerk </w:t>
            </w:r>
            <w:r w:rsidR="0029777B">
              <w:t xml:space="preserve">must </w:t>
            </w:r>
            <w:r w:rsidR="00DA5AD2" w:rsidRPr="00DA5AD2">
              <w:t>file</w:t>
            </w:r>
            <w:r w:rsidR="00BE0924">
              <w:t xml:space="preserve"> </w:t>
            </w:r>
            <w:r w:rsidR="00DA5AD2" w:rsidRPr="00DA5AD2">
              <w:t xml:space="preserve">mark or stamp to receive the case into the record. </w:t>
            </w:r>
            <w:r w:rsidR="0029777B">
              <w:t>As such, interested parties have requested</w:t>
            </w:r>
            <w:r w:rsidR="00DA5AD2" w:rsidRPr="00DA5AD2">
              <w:t xml:space="preserve"> a standardized method </w:t>
            </w:r>
            <w:r w:rsidR="0029777B">
              <w:t>for</w:t>
            </w:r>
            <w:r w:rsidR="00DA5AD2" w:rsidRPr="00DA5AD2">
              <w:t xml:space="preserve"> transferring cases </w:t>
            </w:r>
            <w:r w:rsidR="0029777B">
              <w:t xml:space="preserve">using </w:t>
            </w:r>
            <w:r w:rsidR="00DA5AD2" w:rsidRPr="00DA5AD2">
              <w:t xml:space="preserve">the electronic filing system and </w:t>
            </w:r>
            <w:r w:rsidR="00BE0924">
              <w:t>the creation of</w:t>
            </w:r>
            <w:r w:rsidR="00DA5AD2" w:rsidRPr="00DA5AD2">
              <w:t xml:space="preserve"> a standard transfer certificate that would be the only document the receiving clerk file marks or stamps</w:t>
            </w:r>
            <w:r w:rsidR="00214FE7">
              <w:t xml:space="preserve"> in order to</w:t>
            </w:r>
            <w:r w:rsidR="00DA5AD2" w:rsidRPr="00DA5AD2">
              <w:t xml:space="preserve"> preserv</w:t>
            </w:r>
            <w:r w:rsidR="00214FE7">
              <w:t>e</w:t>
            </w:r>
            <w:r w:rsidR="00DA5AD2" w:rsidRPr="00DA5AD2">
              <w:t xml:space="preserve"> the integrity of the original documents. </w:t>
            </w:r>
            <w:r w:rsidR="00DA5AD2">
              <w:t>C</w:t>
            </w:r>
            <w:r w:rsidR="005D6234">
              <w:t>.</w:t>
            </w:r>
            <w:r w:rsidR="00DA5AD2">
              <w:t>S</w:t>
            </w:r>
            <w:r w:rsidR="005D6234">
              <w:t>.</w:t>
            </w:r>
            <w:r w:rsidR="00DA5AD2" w:rsidRPr="00DA5AD2">
              <w:t>H</w:t>
            </w:r>
            <w:r w:rsidR="005D6234">
              <w:t>.</w:t>
            </w:r>
            <w:r w:rsidR="00DA5AD2" w:rsidRPr="00DA5AD2">
              <w:t>B</w:t>
            </w:r>
            <w:r w:rsidR="005D6234">
              <w:t>.</w:t>
            </w:r>
            <w:r w:rsidR="00214FE7">
              <w:t> </w:t>
            </w:r>
            <w:r w:rsidR="00DA5AD2" w:rsidRPr="00DA5AD2">
              <w:t>1365</w:t>
            </w:r>
            <w:r w:rsidR="00214FE7">
              <w:t> </w:t>
            </w:r>
            <w:r w:rsidR="0029777B">
              <w:t xml:space="preserve">seeks to </w:t>
            </w:r>
            <w:r w:rsidR="00DA5AD2" w:rsidRPr="00DA5AD2">
              <w:t>standardize the court case transfer process between court clerks.</w:t>
            </w:r>
          </w:p>
          <w:p w14:paraId="1CA67C8E" w14:textId="77777777" w:rsidR="008423E4" w:rsidRPr="00E26B13" w:rsidRDefault="008423E4" w:rsidP="00512242">
            <w:pPr>
              <w:rPr>
                <w:b/>
              </w:rPr>
            </w:pPr>
          </w:p>
        </w:tc>
      </w:tr>
      <w:tr w:rsidR="00E36585" w14:paraId="632D29B2" w14:textId="77777777" w:rsidTr="0069174D">
        <w:tc>
          <w:tcPr>
            <w:tcW w:w="9360" w:type="dxa"/>
          </w:tcPr>
          <w:p w14:paraId="6FFACAD1" w14:textId="77777777" w:rsidR="0017725B" w:rsidRDefault="005F68DF" w:rsidP="005122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439A6F" w14:textId="77777777" w:rsidR="0017725B" w:rsidRDefault="0017725B" w:rsidP="00512242">
            <w:pPr>
              <w:rPr>
                <w:b/>
                <w:u w:val="single"/>
              </w:rPr>
            </w:pPr>
          </w:p>
          <w:p w14:paraId="53883405" w14:textId="77777777" w:rsidR="00DA5AD2" w:rsidRPr="00DA5AD2" w:rsidRDefault="005F68DF" w:rsidP="00512242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2B40774A" w14:textId="77777777" w:rsidR="0017725B" w:rsidRPr="0017725B" w:rsidRDefault="0017725B" w:rsidP="00512242">
            <w:pPr>
              <w:rPr>
                <w:b/>
                <w:u w:val="single"/>
              </w:rPr>
            </w:pPr>
          </w:p>
        </w:tc>
      </w:tr>
      <w:tr w:rsidR="00E36585" w14:paraId="683E3CCC" w14:textId="77777777" w:rsidTr="0069174D">
        <w:tc>
          <w:tcPr>
            <w:tcW w:w="9360" w:type="dxa"/>
          </w:tcPr>
          <w:p w14:paraId="56A58D5F" w14:textId="77777777" w:rsidR="008423E4" w:rsidRPr="00A8133F" w:rsidRDefault="005F68DF" w:rsidP="005122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2D4B15" w14:textId="77777777" w:rsidR="008423E4" w:rsidRDefault="008423E4" w:rsidP="00512242"/>
          <w:p w14:paraId="6CA628BC" w14:textId="77777777" w:rsidR="00DA5AD2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3D75B8C5" w14:textId="77777777" w:rsidR="008423E4" w:rsidRPr="00E21FDC" w:rsidRDefault="008423E4" w:rsidP="00512242">
            <w:pPr>
              <w:rPr>
                <w:b/>
              </w:rPr>
            </w:pPr>
          </w:p>
        </w:tc>
      </w:tr>
      <w:tr w:rsidR="00E36585" w14:paraId="7DD1B662" w14:textId="77777777" w:rsidTr="0069174D">
        <w:tc>
          <w:tcPr>
            <w:tcW w:w="9360" w:type="dxa"/>
          </w:tcPr>
          <w:p w14:paraId="36AF5924" w14:textId="77777777" w:rsidR="008423E4" w:rsidRPr="00A8133F" w:rsidRDefault="005F68DF" w:rsidP="005122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FFB9DA7" w14:textId="77777777" w:rsidR="008423E4" w:rsidRDefault="008423E4" w:rsidP="00512242"/>
          <w:p w14:paraId="0FAB2F39" w14:textId="14BA6F5A" w:rsidR="00DA5AD2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1365 amends the Government Code to require the Office of Court Administration</w:t>
            </w:r>
            <w:r w:rsidR="005D6234">
              <w:t xml:space="preserve"> of </w:t>
            </w:r>
            <w:r w:rsidR="008F2EC3">
              <w:t xml:space="preserve">the </w:t>
            </w:r>
            <w:r w:rsidR="005D6234">
              <w:t>Texas Judicial System</w:t>
            </w:r>
            <w:r>
              <w:t xml:space="preserve"> (OCA) to develop and make available a standardized transfer certificate and an index of transferred documents form to be used for the transfer of a case between a district court and a county court or of proceedings in a suit affecting the parent-child rel</w:t>
            </w:r>
            <w:r>
              <w:t>ationship</w:t>
            </w:r>
            <w:r w:rsidR="00467677">
              <w:t xml:space="preserve"> as soon as practicable after the bill's effective date</w:t>
            </w:r>
            <w:r>
              <w:t>. The bill requires OCA, in developing forms to provide for the transfer of documents between courts, to consult with representatives of county and district clerks.</w:t>
            </w:r>
          </w:p>
          <w:p w14:paraId="353F5288" w14:textId="34A211CE" w:rsidR="00DA5AD2" w:rsidRDefault="00DA5AD2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F5BE946" w14:textId="3D6E385E" w:rsidR="007D6041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13</w:t>
            </w:r>
            <w:r w:rsidR="006238DF">
              <w:t xml:space="preserve">65 </w:t>
            </w:r>
            <w:r>
              <w:t xml:space="preserve">changes the </w:t>
            </w:r>
            <w:r w:rsidR="007953AB">
              <w:t xml:space="preserve">authorization </w:t>
            </w:r>
            <w:r w:rsidR="0049175D">
              <w:t xml:space="preserve">for the clerk of a district court and changes the </w:t>
            </w:r>
            <w:r w:rsidR="007953AB">
              <w:t xml:space="preserve">requirement </w:t>
            </w:r>
            <w:r>
              <w:t xml:space="preserve">for </w:t>
            </w:r>
            <w:r w:rsidR="00657CB5">
              <w:t>the</w:t>
            </w:r>
            <w:r>
              <w:t xml:space="preserve"> clerk of a county court, if a case is transferred </w:t>
            </w:r>
            <w:r w:rsidR="00227694">
              <w:t xml:space="preserve">to </w:t>
            </w:r>
            <w:r>
              <w:t xml:space="preserve">a county court or </w:t>
            </w:r>
            <w:r w:rsidR="00227694">
              <w:t xml:space="preserve">to </w:t>
            </w:r>
            <w:r>
              <w:t xml:space="preserve">a district court, to send certain documents to the </w:t>
            </w:r>
            <w:r w:rsidR="00227694">
              <w:t xml:space="preserve">respective </w:t>
            </w:r>
            <w:r>
              <w:t xml:space="preserve">clerk in electronic or paper form </w:t>
            </w:r>
            <w:r w:rsidR="00657CB5">
              <w:t xml:space="preserve">to </w:t>
            </w:r>
            <w:r>
              <w:t>a requirement</w:t>
            </w:r>
            <w:r w:rsidR="0049175D">
              <w:t xml:space="preserve"> for both clerks</w:t>
            </w:r>
            <w:r>
              <w:t xml:space="preserve"> to send the following documents using the electronic filing system established by the Texas Supreme Court:</w:t>
            </w:r>
          </w:p>
          <w:p w14:paraId="64111A63" w14:textId="77777777" w:rsidR="007D6041" w:rsidRDefault="005F68DF" w:rsidP="0051224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transfer certificate and index of transferred documents;</w:t>
            </w:r>
          </w:p>
          <w:p w14:paraId="7F2E40BF" w14:textId="77777777" w:rsidR="007D6041" w:rsidRDefault="005F68DF" w:rsidP="0051224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copy of the original papers filed in the transferring cou</w:t>
            </w:r>
            <w:r>
              <w:t>rt;</w:t>
            </w:r>
          </w:p>
          <w:p w14:paraId="2C76D819" w14:textId="2AEC85E3" w:rsidR="007D6041" w:rsidRDefault="005F68DF" w:rsidP="0051224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copy of the order of transfer signed by the transferring court;</w:t>
            </w:r>
          </w:p>
          <w:p w14:paraId="4ED91707" w14:textId="47647318" w:rsidR="00167074" w:rsidRDefault="005F68DF" w:rsidP="0051224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copy of each final order;</w:t>
            </w:r>
          </w:p>
          <w:p w14:paraId="664D0288" w14:textId="77777777" w:rsidR="007D6041" w:rsidRDefault="005F68DF" w:rsidP="0051224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copy of the transfer certificate and index of transferred documents from each previous transfer; and</w:t>
            </w:r>
          </w:p>
          <w:p w14:paraId="3367183D" w14:textId="77777777" w:rsidR="007D6041" w:rsidRDefault="005F68DF" w:rsidP="0051224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bill of any costs that have accrued in the </w:t>
            </w:r>
            <w:r>
              <w:t>transferring court.</w:t>
            </w:r>
          </w:p>
          <w:p w14:paraId="1519A72B" w14:textId="77777777" w:rsidR="007D6041" w:rsidRDefault="007D6041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2EC948" w14:textId="30E7A0A4" w:rsidR="007D6041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1365 requires the clerk of the applicable transferring court to use the standardized transfer certificate and index of transferred documents form created by OCA when transferring a case to </w:t>
            </w:r>
            <w:r w:rsidR="00B526AD">
              <w:t>the applicable court</w:t>
            </w:r>
            <w:r>
              <w:t>. The clerk of th</w:t>
            </w:r>
            <w:r>
              <w:t xml:space="preserve">e applicable transferee court: </w:t>
            </w:r>
          </w:p>
          <w:p w14:paraId="61EC8C85" w14:textId="77777777" w:rsidR="007D6041" w:rsidRDefault="005F68DF" w:rsidP="0051224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must accept the transferred documents and docket the case;</w:t>
            </w:r>
          </w:p>
          <w:p w14:paraId="4AD7C174" w14:textId="77777777" w:rsidR="007D6041" w:rsidRDefault="005F68DF" w:rsidP="0051224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must physically or electronically mark or stamp the transfer certificate and index of transferred documents to evidence the date and time of acceptance; and</w:t>
            </w:r>
          </w:p>
          <w:p w14:paraId="522551A3" w14:textId="77777777" w:rsidR="007D6041" w:rsidRDefault="005F68DF" w:rsidP="0051224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may not </w:t>
            </w:r>
            <w:r>
              <w:t>physically or electronically mark or stamp any other transferred document.</w:t>
            </w:r>
          </w:p>
          <w:p w14:paraId="4891CCB9" w14:textId="626178FE" w:rsidR="007D6041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replaces the method by which the clerk of a county court of which civil or criminal jurisdiction is transferred to a district court</w:t>
            </w:r>
            <w:r w:rsidR="00C35903">
              <w:t xml:space="preserve"> must</w:t>
            </w:r>
            <w:r>
              <w:t xml:space="preserve"> send a certificated copy of judgmen</w:t>
            </w:r>
            <w:r>
              <w:t xml:space="preserve">ts that remain unsatisfied to the applicable district clerk </w:t>
            </w:r>
            <w:r w:rsidR="00C35903">
              <w:t xml:space="preserve">with </w:t>
            </w:r>
            <w:r>
              <w:t xml:space="preserve">the electronic filing system. The bill establishes that statutory provisions </w:t>
            </w:r>
            <w:r w:rsidR="0045627E">
              <w:t xml:space="preserve">authorizing </w:t>
            </w:r>
            <w:r>
              <w:t xml:space="preserve">a notice or document </w:t>
            </w:r>
            <w:r w:rsidR="00657CB5">
              <w:t xml:space="preserve">to be sent by mail or electronic mail </w:t>
            </w:r>
            <w:r>
              <w:t xml:space="preserve">do not apply to the transfer of a case </w:t>
            </w:r>
            <w:r w:rsidR="00C35903">
              <w:t>between</w:t>
            </w:r>
            <w:r>
              <w:t xml:space="preserve"> a district court </w:t>
            </w:r>
            <w:r w:rsidR="00C35903">
              <w:t>and a county court</w:t>
            </w:r>
            <w:r>
              <w:t>.</w:t>
            </w:r>
          </w:p>
          <w:p w14:paraId="3DB234DD" w14:textId="77777777" w:rsidR="007D6041" w:rsidRDefault="007D6041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E795C3" w14:textId="7BAEC499" w:rsidR="00C03B40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A5AD2">
              <w:t xml:space="preserve">H.B. 1365 amends the Family Code to </w:t>
            </w:r>
            <w:r>
              <w:t xml:space="preserve">change the </w:t>
            </w:r>
            <w:r w:rsidR="00AA6F93">
              <w:t>requirement for the clerk of the court transferring a proceeding in a suit affecting the parent-child relationship</w:t>
            </w:r>
            <w:r w:rsidR="00A10137">
              <w:t xml:space="preserve"> to send certain documents to the proper court in the county to which transfer is being made</w:t>
            </w:r>
            <w:r w:rsidR="00AA6F93">
              <w:t xml:space="preserve"> as follows:</w:t>
            </w:r>
          </w:p>
          <w:p w14:paraId="1F7ADE3D" w14:textId="0A3A4A0E" w:rsidR="00AA6F93" w:rsidRDefault="005F68DF" w:rsidP="0051224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require the clerk to use the electronic filing system established by the supreme court; </w:t>
            </w:r>
          </w:p>
          <w:p w14:paraId="355120BC" w14:textId="77777777" w:rsidR="00A10137" w:rsidRDefault="005F68DF" w:rsidP="0051224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require the clerk to send the following documents: </w:t>
            </w:r>
          </w:p>
          <w:p w14:paraId="5414CB15" w14:textId="77777777" w:rsidR="00A10137" w:rsidRDefault="005F68DF" w:rsidP="0051224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transfer certificate and index of transferred documents; </w:t>
            </w:r>
          </w:p>
          <w:p w14:paraId="3B76C251" w14:textId="77777777" w:rsidR="00A10137" w:rsidRDefault="005F68DF" w:rsidP="0051224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copy of each final order; </w:t>
            </w:r>
          </w:p>
          <w:p w14:paraId="32FC8F1D" w14:textId="77777777" w:rsidR="00A10137" w:rsidRDefault="005F68DF" w:rsidP="0051224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copy of the order transfer signed by the transferring court; </w:t>
            </w:r>
          </w:p>
          <w:p w14:paraId="284653A9" w14:textId="77777777" w:rsidR="00A10137" w:rsidRDefault="005F68DF" w:rsidP="0051224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copy of the original papers filed in the transferring court; </w:t>
            </w:r>
          </w:p>
          <w:p w14:paraId="16489D20" w14:textId="4875460A" w:rsidR="00A10137" w:rsidRDefault="005F68DF" w:rsidP="0051224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copy of the transfer certificate and </w:t>
            </w:r>
            <w:r>
              <w:t>index of transferred documents from each previous trans</w:t>
            </w:r>
            <w:r w:rsidR="0086227A">
              <w:t>fer; and</w:t>
            </w:r>
          </w:p>
          <w:p w14:paraId="52EBF245" w14:textId="2544BCF3" w:rsidR="00A10137" w:rsidRDefault="005F68DF" w:rsidP="0051224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 bill of any costs that have ac</w:t>
            </w:r>
            <w:r w:rsidR="0086227A">
              <w:t>crued in the transferring court; and</w:t>
            </w:r>
          </w:p>
          <w:p w14:paraId="785C8EDA" w14:textId="7A261CEB" w:rsidR="0086227A" w:rsidRDefault="005F68DF" w:rsidP="0051224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to require the clerk to use the standardized transfer certificate and index of transferred documents form created by OCA.</w:t>
            </w:r>
          </w:p>
          <w:p w14:paraId="640BEE49" w14:textId="31337E42" w:rsidR="00CD5497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>
              <w:t xml:space="preserve">he clerk of the transferee court must accept such documents. </w:t>
            </w:r>
            <w:r w:rsidR="00FF78D3">
              <w:t>The bil</w:t>
            </w:r>
            <w:r>
              <w:t>l</w:t>
            </w:r>
            <w:r w:rsidR="00FF78D3">
              <w:t xml:space="preserve"> removes the requirement </w:t>
            </w:r>
            <w:r>
              <w:t xml:space="preserve">for the clerk </w:t>
            </w:r>
            <w:r w:rsidR="00FF78D3">
              <w:t>to notify the judge of the transferee court</w:t>
            </w:r>
            <w:r w:rsidR="00CD09A4">
              <w:t xml:space="preserve"> and</w:t>
            </w:r>
            <w:r w:rsidR="00467677">
              <w:t xml:space="preserve"> the requirement for the clerk of a transferring court </w:t>
            </w:r>
            <w:r w:rsidR="00CD09A4">
              <w:t xml:space="preserve">that retains jurisdiction of another child who was the subject of the suit to keep the original pleadings and other requested documents </w:t>
            </w:r>
            <w:r w:rsidR="00FF78D3">
              <w:t>but</w:t>
            </w:r>
            <w:r>
              <w:t>, as follows, the clerk:</w:t>
            </w:r>
          </w:p>
          <w:p w14:paraId="07CB1B57" w14:textId="60983479" w:rsidR="00CD5497" w:rsidRDefault="005F68DF" w:rsidP="0051224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must </w:t>
            </w:r>
            <w:r w:rsidR="0086227A" w:rsidRPr="0086227A">
              <w:t>notify all parties, the clerk of the transferring court, and, if appropriate, the transferring court's local registry that the suit has been docketed</w:t>
            </w:r>
            <w:r w:rsidR="00FF78D3" w:rsidRPr="0086227A">
              <w:t xml:space="preserve"> using the electronic filing system</w:t>
            </w:r>
            <w:r>
              <w:t>;</w:t>
            </w:r>
            <w:r w:rsidR="003037F8">
              <w:t xml:space="preserve"> </w:t>
            </w:r>
          </w:p>
          <w:p w14:paraId="7F327B2D" w14:textId="673ABD1D" w:rsidR="00CD5497" w:rsidRDefault="005F68DF" w:rsidP="0051224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must</w:t>
            </w:r>
            <w:r w:rsidR="00DA5AD2">
              <w:t xml:space="preserve"> </w:t>
            </w:r>
            <w:r>
              <w:t xml:space="preserve">physically or electronically </w:t>
            </w:r>
            <w:r w:rsidR="00DA5AD2">
              <w:t>mark or stamp the transfer certificate and index of transferred documents to evidence the date and time of acceptance</w:t>
            </w:r>
            <w:r>
              <w:t>;</w:t>
            </w:r>
            <w:r w:rsidR="0086227A">
              <w:t xml:space="preserve"> and</w:t>
            </w:r>
            <w:r w:rsidR="00DA5AD2">
              <w:t xml:space="preserve"> </w:t>
            </w:r>
          </w:p>
          <w:p w14:paraId="23D753DB" w14:textId="70BD6660" w:rsidR="00DA5AD2" w:rsidRDefault="005F68DF" w:rsidP="0051224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may not physically or electronically mark or</w:t>
            </w:r>
            <w:r>
              <w:t xml:space="preserve"> stamp any other transferred document</w:t>
            </w:r>
            <w:r w:rsidR="003037F8">
              <w:t>.</w:t>
            </w:r>
            <w:r w:rsidR="00197725">
              <w:t xml:space="preserve"> </w:t>
            </w:r>
            <w:r w:rsidR="00B526AD">
              <w:t xml:space="preserve"> </w:t>
            </w:r>
          </w:p>
          <w:p w14:paraId="356E7163" w14:textId="77777777" w:rsidR="0086227A" w:rsidRDefault="0086227A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11DF79" w14:textId="5FC61899" w:rsidR="009C36CD" w:rsidRPr="009C36CD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1365 requires </w:t>
            </w:r>
            <w:r w:rsidR="00DA5AD2">
              <w:t>the clerk of the transferring court to send a certified copy of the order directing payments to the transferee court using the electronic filing system and to an employer affected by the order electronically or by first class mail</w:t>
            </w:r>
            <w:r>
              <w:t xml:space="preserve">. </w:t>
            </w:r>
            <w:r w:rsidR="007F0610">
              <w:t>The bill clarifies that</w:t>
            </w:r>
            <w:r w:rsidR="00DA5AD2">
              <w:t xml:space="preserve"> the clerks of both the transferee and transferring courts </w:t>
            </w:r>
            <w:r w:rsidR="007F0610">
              <w:t xml:space="preserve">may </w:t>
            </w:r>
            <w:r w:rsidR="00DA5AD2">
              <w:t xml:space="preserve">each produce certified or uncertified </w:t>
            </w:r>
            <w:r w:rsidR="00271450">
              <w:t xml:space="preserve">copies of </w:t>
            </w:r>
            <w:r w:rsidR="00DA5AD2">
              <w:t xml:space="preserve">documents filed in a case transferred but </w:t>
            </w:r>
            <w:r w:rsidR="007F0610">
              <w:t xml:space="preserve">that </w:t>
            </w:r>
            <w:r w:rsidR="00DA5AD2">
              <w:t xml:space="preserve">the clerks </w:t>
            </w:r>
            <w:r w:rsidR="007F0610">
              <w:t xml:space="preserve">must </w:t>
            </w:r>
            <w:r w:rsidR="00DA5AD2">
              <w:t>include a copy of the transfer certificate and index of transferred documents with each document produced.</w:t>
            </w:r>
            <w:r w:rsidR="007F0610">
              <w:t xml:space="preserve"> </w:t>
            </w:r>
            <w:r w:rsidR="00DA5AD2">
              <w:t xml:space="preserve">The bill establishes that </w:t>
            </w:r>
            <w:r w:rsidR="00AA6F93">
              <w:t>statutory provisions authorizing a notice or document to be sent by mail or electronic mail</w:t>
            </w:r>
            <w:r w:rsidR="00DA5AD2">
              <w:t xml:space="preserve"> do not apply to the transfer of documents for a proceeding in a suit affecting the parent-child relationship.</w:t>
            </w:r>
          </w:p>
          <w:p w14:paraId="1AB71C9F" w14:textId="77777777" w:rsidR="008423E4" w:rsidRPr="00835628" w:rsidRDefault="008423E4" w:rsidP="00512242">
            <w:pPr>
              <w:rPr>
                <w:b/>
              </w:rPr>
            </w:pPr>
          </w:p>
        </w:tc>
      </w:tr>
      <w:tr w:rsidR="00E36585" w14:paraId="77A5F44E" w14:textId="77777777" w:rsidTr="0069174D">
        <w:tc>
          <w:tcPr>
            <w:tcW w:w="9360" w:type="dxa"/>
          </w:tcPr>
          <w:p w14:paraId="714EB766" w14:textId="77777777" w:rsidR="008423E4" w:rsidRPr="00A8133F" w:rsidRDefault="005F68DF" w:rsidP="005122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DEB02C" w14:textId="77777777" w:rsidR="008423E4" w:rsidRDefault="008423E4" w:rsidP="00512242"/>
          <w:p w14:paraId="41198C62" w14:textId="77777777" w:rsidR="008423E4" w:rsidRPr="003624F2" w:rsidRDefault="005F68DF" w:rsidP="00512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E2EA71F" w14:textId="77777777" w:rsidR="008423E4" w:rsidRDefault="008423E4" w:rsidP="00512242">
            <w:pPr>
              <w:rPr>
                <w:b/>
              </w:rPr>
            </w:pPr>
          </w:p>
          <w:p w14:paraId="738FCBC5" w14:textId="77777777" w:rsidR="00512242" w:rsidRDefault="00512242" w:rsidP="00512242">
            <w:pPr>
              <w:rPr>
                <w:b/>
              </w:rPr>
            </w:pPr>
          </w:p>
          <w:p w14:paraId="08DF3F53" w14:textId="77777777" w:rsidR="00512242" w:rsidRDefault="00512242" w:rsidP="00512242">
            <w:pPr>
              <w:rPr>
                <w:b/>
              </w:rPr>
            </w:pPr>
          </w:p>
          <w:p w14:paraId="303DED76" w14:textId="77777777" w:rsidR="00512242" w:rsidRDefault="00512242" w:rsidP="00512242">
            <w:pPr>
              <w:rPr>
                <w:b/>
              </w:rPr>
            </w:pPr>
          </w:p>
          <w:p w14:paraId="0C2B63F2" w14:textId="0418388B" w:rsidR="00512242" w:rsidRPr="00233FDB" w:rsidRDefault="00512242" w:rsidP="00512242">
            <w:pPr>
              <w:rPr>
                <w:b/>
              </w:rPr>
            </w:pPr>
          </w:p>
        </w:tc>
      </w:tr>
      <w:tr w:rsidR="00E36585" w14:paraId="4F7FB95A" w14:textId="77777777" w:rsidTr="0069174D">
        <w:tc>
          <w:tcPr>
            <w:tcW w:w="9360" w:type="dxa"/>
          </w:tcPr>
          <w:p w14:paraId="349A59C9" w14:textId="77777777" w:rsidR="00DA5AD2" w:rsidRDefault="005F68DF" w:rsidP="0051224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0733AD4" w14:textId="77777777" w:rsidR="0085616B" w:rsidRDefault="0085616B" w:rsidP="00512242">
            <w:pPr>
              <w:jc w:val="both"/>
            </w:pPr>
          </w:p>
          <w:p w14:paraId="7FA4A370" w14:textId="77777777" w:rsidR="0085616B" w:rsidRDefault="005F68DF" w:rsidP="00512242">
            <w:pPr>
              <w:jc w:val="both"/>
            </w:pPr>
            <w:r>
              <w:t xml:space="preserve">While C.S.H.B. 1365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6A1F0A61" w14:textId="77777777" w:rsidR="0085616B" w:rsidRDefault="0085616B" w:rsidP="00512242">
            <w:pPr>
              <w:jc w:val="both"/>
            </w:pPr>
          </w:p>
          <w:p w14:paraId="2E5A0BB4" w14:textId="01D4FFA9" w:rsidR="0085616B" w:rsidRPr="0069174D" w:rsidRDefault="005F68DF" w:rsidP="00512242">
            <w:pPr>
              <w:jc w:val="both"/>
            </w:pPr>
            <w:r>
              <w:t xml:space="preserve">The substitute does not include </w:t>
            </w:r>
            <w:r w:rsidR="00476A02">
              <w:t xml:space="preserve">the requirement for </w:t>
            </w:r>
            <w:r w:rsidR="00683C60">
              <w:t>OCA</w:t>
            </w:r>
            <w:r w:rsidR="00D64059">
              <w:t xml:space="preserve"> </w:t>
            </w:r>
            <w:r w:rsidR="002C53ED">
              <w:t>to adopt rules</w:t>
            </w:r>
            <w:r w:rsidR="00C03B40">
              <w:t xml:space="preserve"> prescribing the documents to be transferred between courts</w:t>
            </w:r>
            <w:r w:rsidR="004E29B1">
              <w:t>.</w:t>
            </w:r>
          </w:p>
        </w:tc>
      </w:tr>
    </w:tbl>
    <w:p w14:paraId="3DD68E94" w14:textId="77777777" w:rsidR="008423E4" w:rsidRPr="00BE0E75" w:rsidRDefault="008423E4" w:rsidP="00512242">
      <w:pPr>
        <w:jc w:val="both"/>
        <w:rPr>
          <w:rFonts w:ascii="Arial" w:hAnsi="Arial"/>
          <w:sz w:val="16"/>
          <w:szCs w:val="16"/>
        </w:rPr>
      </w:pPr>
    </w:p>
    <w:p w14:paraId="6B289CEE" w14:textId="77777777" w:rsidR="004108C3" w:rsidRPr="008423E4" w:rsidRDefault="004108C3" w:rsidP="0051224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EF10" w14:textId="77777777" w:rsidR="00000000" w:rsidRDefault="005F68DF">
      <w:r>
        <w:separator/>
      </w:r>
    </w:p>
  </w:endnote>
  <w:endnote w:type="continuationSeparator" w:id="0">
    <w:p w14:paraId="198B8CE7" w14:textId="77777777" w:rsidR="00000000" w:rsidRDefault="005F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65B8" w14:textId="77777777" w:rsidR="005E1BBC" w:rsidRDefault="005E1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6585" w14:paraId="0EEDB45A" w14:textId="77777777" w:rsidTr="009C1E9A">
      <w:trPr>
        <w:cantSplit/>
      </w:trPr>
      <w:tc>
        <w:tcPr>
          <w:tcW w:w="0" w:type="pct"/>
        </w:tcPr>
        <w:p w14:paraId="129D3D77" w14:textId="77777777" w:rsidR="00B526AD" w:rsidRDefault="00B526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4BB00F" w14:textId="77777777" w:rsidR="00B526AD" w:rsidRDefault="00B526AD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AE0146" w14:textId="77777777" w:rsidR="00B526AD" w:rsidRDefault="00B526AD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739B65" w14:textId="77777777" w:rsidR="00B526AD" w:rsidRDefault="00B526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1D37AD" w14:textId="77777777" w:rsidR="00B526AD" w:rsidRDefault="00B526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6585" w14:paraId="6B877FB4" w14:textId="77777777" w:rsidTr="009C1E9A">
      <w:trPr>
        <w:cantSplit/>
      </w:trPr>
      <w:tc>
        <w:tcPr>
          <w:tcW w:w="0" w:type="pct"/>
        </w:tcPr>
        <w:p w14:paraId="502CA5A1" w14:textId="77777777" w:rsidR="00B526AD" w:rsidRDefault="00B526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DAEF86" w14:textId="77777777" w:rsidR="00B526AD" w:rsidRPr="009C1E9A" w:rsidRDefault="005F68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18435</w:t>
          </w:r>
        </w:p>
      </w:tc>
      <w:tc>
        <w:tcPr>
          <w:tcW w:w="2453" w:type="pct"/>
        </w:tcPr>
        <w:p w14:paraId="7923BFF1" w14:textId="4DAA95D3" w:rsidR="00B526AD" w:rsidRDefault="005F6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5306">
            <w:t>21.97.116</w:t>
          </w:r>
          <w:r>
            <w:fldChar w:fldCharType="end"/>
          </w:r>
        </w:p>
      </w:tc>
    </w:tr>
    <w:tr w:rsidR="00E36585" w14:paraId="04DF6291" w14:textId="77777777" w:rsidTr="009C1E9A">
      <w:trPr>
        <w:cantSplit/>
      </w:trPr>
      <w:tc>
        <w:tcPr>
          <w:tcW w:w="0" w:type="pct"/>
        </w:tcPr>
        <w:p w14:paraId="483AFFAC" w14:textId="77777777" w:rsidR="00B526AD" w:rsidRDefault="00B526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A6F36E3" w14:textId="77777777" w:rsidR="00B526AD" w:rsidRPr="009C1E9A" w:rsidRDefault="005F68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10123</w:t>
          </w:r>
        </w:p>
      </w:tc>
      <w:tc>
        <w:tcPr>
          <w:tcW w:w="2453" w:type="pct"/>
        </w:tcPr>
        <w:p w14:paraId="37996E4B" w14:textId="77777777" w:rsidR="00B526AD" w:rsidRDefault="00B526AD" w:rsidP="006D504F">
          <w:pPr>
            <w:pStyle w:val="Footer"/>
            <w:rPr>
              <w:rStyle w:val="PageNumber"/>
            </w:rPr>
          </w:pPr>
        </w:p>
        <w:p w14:paraId="14290632" w14:textId="77777777" w:rsidR="00B526AD" w:rsidRDefault="00B526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6585" w14:paraId="760E71B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8D50336" w14:textId="1C38C812" w:rsidR="00B526AD" w:rsidRDefault="005F68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1224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EE8DA5F" w14:textId="77777777" w:rsidR="00B526AD" w:rsidRDefault="00B526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2D2F0E" w14:textId="77777777" w:rsidR="00B526AD" w:rsidRPr="00FF6F72" w:rsidRDefault="00B526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6394" w14:textId="77777777" w:rsidR="005E1BBC" w:rsidRDefault="005E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C60F" w14:textId="77777777" w:rsidR="00000000" w:rsidRDefault="005F68DF">
      <w:r>
        <w:separator/>
      </w:r>
    </w:p>
  </w:footnote>
  <w:footnote w:type="continuationSeparator" w:id="0">
    <w:p w14:paraId="19FB7DD6" w14:textId="77777777" w:rsidR="00000000" w:rsidRDefault="005F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8E55" w14:textId="77777777" w:rsidR="005E1BBC" w:rsidRDefault="005E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C402" w14:textId="77777777" w:rsidR="005E1BBC" w:rsidRDefault="005E1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6CE1" w14:textId="77777777" w:rsidR="005E1BBC" w:rsidRDefault="005E1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194"/>
    <w:multiLevelType w:val="hybridMultilevel"/>
    <w:tmpl w:val="DA02FB7C"/>
    <w:lvl w:ilvl="0" w:tplc="BF384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25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69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C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6E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52E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CA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A2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07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382"/>
    <w:multiLevelType w:val="hybridMultilevel"/>
    <w:tmpl w:val="3086DC3C"/>
    <w:lvl w:ilvl="0" w:tplc="F3DC0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8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A0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8F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20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C7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63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CE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CA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62CE"/>
    <w:multiLevelType w:val="hybridMultilevel"/>
    <w:tmpl w:val="2528D4FA"/>
    <w:lvl w:ilvl="0" w:tplc="AC3E6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48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6A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45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6C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A4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40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68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61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52AA"/>
    <w:multiLevelType w:val="hybridMultilevel"/>
    <w:tmpl w:val="36688EEC"/>
    <w:lvl w:ilvl="0" w:tplc="7C26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C1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C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7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6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A1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B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2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25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E04"/>
    <w:multiLevelType w:val="hybridMultilevel"/>
    <w:tmpl w:val="BA2E08C6"/>
    <w:lvl w:ilvl="0" w:tplc="C8701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E5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A5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06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A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E7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A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44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24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0E59"/>
    <w:multiLevelType w:val="hybridMultilevel"/>
    <w:tmpl w:val="1B7266C2"/>
    <w:lvl w:ilvl="0" w:tplc="916C4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9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84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D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E6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62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2D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E5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61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844E2"/>
    <w:multiLevelType w:val="hybridMultilevel"/>
    <w:tmpl w:val="C6D45738"/>
    <w:lvl w:ilvl="0" w:tplc="9D149C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30A140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10486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2DAA64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2C07CA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39CD3A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A7C616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C0CF77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AFAE7A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8B1731"/>
    <w:multiLevelType w:val="hybridMultilevel"/>
    <w:tmpl w:val="B6765746"/>
    <w:lvl w:ilvl="0" w:tplc="89642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21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AA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E7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CF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21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7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08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85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2"/>
    <w:rsid w:val="00000A70"/>
    <w:rsid w:val="000032B8"/>
    <w:rsid w:val="00003B06"/>
    <w:rsid w:val="000054B9"/>
    <w:rsid w:val="00007461"/>
    <w:rsid w:val="0001117E"/>
    <w:rsid w:val="0001125F"/>
    <w:rsid w:val="000118CB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9C2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A09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074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725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FE7"/>
    <w:rsid w:val="00216BBA"/>
    <w:rsid w:val="00216E12"/>
    <w:rsid w:val="00217466"/>
    <w:rsid w:val="0021751D"/>
    <w:rsid w:val="00217C49"/>
    <w:rsid w:val="0022177D"/>
    <w:rsid w:val="00224C37"/>
    <w:rsid w:val="0022769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2E8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450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77B"/>
    <w:rsid w:val="002A17C0"/>
    <w:rsid w:val="002A2F2F"/>
    <w:rsid w:val="002A48DF"/>
    <w:rsid w:val="002A5A84"/>
    <w:rsid w:val="002A6663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3ED"/>
    <w:rsid w:val="002C5713"/>
    <w:rsid w:val="002D05CC"/>
    <w:rsid w:val="002D305A"/>
    <w:rsid w:val="002E21B8"/>
    <w:rsid w:val="002E7DF9"/>
    <w:rsid w:val="002F097B"/>
    <w:rsid w:val="002F3111"/>
    <w:rsid w:val="002F4AEC"/>
    <w:rsid w:val="002F5306"/>
    <w:rsid w:val="002F795D"/>
    <w:rsid w:val="00300823"/>
    <w:rsid w:val="00300D7F"/>
    <w:rsid w:val="00301638"/>
    <w:rsid w:val="003037F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66A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B3A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27E"/>
    <w:rsid w:val="0046027D"/>
    <w:rsid w:val="00461B69"/>
    <w:rsid w:val="00462B3D"/>
    <w:rsid w:val="00467677"/>
    <w:rsid w:val="00474927"/>
    <w:rsid w:val="00475913"/>
    <w:rsid w:val="00476A02"/>
    <w:rsid w:val="00480080"/>
    <w:rsid w:val="004824A7"/>
    <w:rsid w:val="00483AF0"/>
    <w:rsid w:val="00484167"/>
    <w:rsid w:val="0049175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9B1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242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88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234"/>
    <w:rsid w:val="005D68D1"/>
    <w:rsid w:val="005D767D"/>
    <w:rsid w:val="005D7A30"/>
    <w:rsid w:val="005D7D3B"/>
    <w:rsid w:val="005E1999"/>
    <w:rsid w:val="005E1BBC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8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8DF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CB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C60"/>
    <w:rsid w:val="00684B98"/>
    <w:rsid w:val="00685DC9"/>
    <w:rsid w:val="00687465"/>
    <w:rsid w:val="006907CF"/>
    <w:rsid w:val="0069174D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87E"/>
    <w:rsid w:val="00780FB6"/>
    <w:rsid w:val="0078552A"/>
    <w:rsid w:val="00785729"/>
    <w:rsid w:val="00786058"/>
    <w:rsid w:val="0079487D"/>
    <w:rsid w:val="007953AB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041"/>
    <w:rsid w:val="007D7FCB"/>
    <w:rsid w:val="007E33B6"/>
    <w:rsid w:val="007E59E8"/>
    <w:rsid w:val="007F0610"/>
    <w:rsid w:val="007F3861"/>
    <w:rsid w:val="007F4162"/>
    <w:rsid w:val="007F5441"/>
    <w:rsid w:val="007F688E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16B"/>
    <w:rsid w:val="0085797D"/>
    <w:rsid w:val="00860020"/>
    <w:rsid w:val="008618E7"/>
    <w:rsid w:val="00861995"/>
    <w:rsid w:val="0086227A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A72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BF8"/>
    <w:rsid w:val="008F2EC3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918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137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47C"/>
    <w:rsid w:val="00A35D66"/>
    <w:rsid w:val="00A41085"/>
    <w:rsid w:val="00A425FA"/>
    <w:rsid w:val="00A43960"/>
    <w:rsid w:val="00A46902"/>
    <w:rsid w:val="00A50CDB"/>
    <w:rsid w:val="00A51F3E"/>
    <w:rsid w:val="00A5331E"/>
    <w:rsid w:val="00A5364B"/>
    <w:rsid w:val="00A54142"/>
    <w:rsid w:val="00A54C42"/>
    <w:rsid w:val="00A5540E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F9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044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6AD"/>
    <w:rsid w:val="00B52C8D"/>
    <w:rsid w:val="00B564BF"/>
    <w:rsid w:val="00B6104E"/>
    <w:rsid w:val="00B610C7"/>
    <w:rsid w:val="00B62106"/>
    <w:rsid w:val="00B626A8"/>
    <w:rsid w:val="00B6405E"/>
    <w:rsid w:val="00B65695"/>
    <w:rsid w:val="00B66526"/>
    <w:rsid w:val="00B665A3"/>
    <w:rsid w:val="00B73BB4"/>
    <w:rsid w:val="00B80532"/>
    <w:rsid w:val="00B82039"/>
    <w:rsid w:val="00B82454"/>
    <w:rsid w:val="00B84821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924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B40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903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9D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9A4"/>
    <w:rsid w:val="00CD180C"/>
    <w:rsid w:val="00CD37DA"/>
    <w:rsid w:val="00CD4F2C"/>
    <w:rsid w:val="00CD5497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059"/>
    <w:rsid w:val="00D64B88"/>
    <w:rsid w:val="00D64DC5"/>
    <w:rsid w:val="00D66BA6"/>
    <w:rsid w:val="00D700B1"/>
    <w:rsid w:val="00D70D9E"/>
    <w:rsid w:val="00D730FA"/>
    <w:rsid w:val="00D75B4F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AD2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585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D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C64F08-1C6B-4029-A70F-A164BDCD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5A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5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5A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5AD2"/>
    <w:rPr>
      <w:b/>
      <w:bCs/>
    </w:rPr>
  </w:style>
  <w:style w:type="paragraph" w:styleId="Revision">
    <w:name w:val="Revision"/>
    <w:hidden/>
    <w:uiPriority w:val="99"/>
    <w:semiHidden/>
    <w:rsid w:val="00DA5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5682</Characters>
  <Application>Microsoft Office Word</Application>
  <DocSecurity>4</DocSecurity>
  <Lines>121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HB01365 (Committee Report (Substituted))</vt:lpstr>
    </vt:vector>
  </TitlesOfParts>
  <Company>State of Texas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18435</dc:subject>
  <dc:creator>State of Texas</dc:creator>
  <dc:description>HB 1365 by Clardy-(H)Judiciary &amp; Civil Jurisprudence (Substitute Document Number: 87R 10123)</dc:description>
  <cp:lastModifiedBy>Lauren Bustamente</cp:lastModifiedBy>
  <cp:revision>2</cp:revision>
  <cp:lastPrinted>2003-11-26T17:21:00Z</cp:lastPrinted>
  <dcterms:created xsi:type="dcterms:W3CDTF">2021-04-12T22:46:00Z</dcterms:created>
  <dcterms:modified xsi:type="dcterms:W3CDTF">2021-04-12T22:46:00Z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21.97.116</vt:lpwstr>
  </property>
</Properties>
</file>