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65A89" w14:paraId="0175F3B0" w14:textId="77777777" w:rsidTr="00345119">
        <w:tc>
          <w:tcPr>
            <w:tcW w:w="9576" w:type="dxa"/>
            <w:noWrap/>
          </w:tcPr>
          <w:p w14:paraId="5DA4419C" w14:textId="77777777" w:rsidR="008423E4" w:rsidRPr="0022177D" w:rsidRDefault="0000071E" w:rsidP="0068520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5125DA3" w14:textId="77777777" w:rsidR="008423E4" w:rsidRPr="0022177D" w:rsidRDefault="008423E4" w:rsidP="0068520C">
      <w:pPr>
        <w:jc w:val="center"/>
      </w:pPr>
    </w:p>
    <w:p w14:paraId="4C9F009F" w14:textId="77777777" w:rsidR="008423E4" w:rsidRPr="00B31F0E" w:rsidRDefault="008423E4" w:rsidP="0068520C"/>
    <w:p w14:paraId="0AE7A0E7" w14:textId="77777777" w:rsidR="008423E4" w:rsidRPr="00742794" w:rsidRDefault="008423E4" w:rsidP="0068520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5A89" w14:paraId="752C0062" w14:textId="77777777" w:rsidTr="00345119">
        <w:tc>
          <w:tcPr>
            <w:tcW w:w="9576" w:type="dxa"/>
          </w:tcPr>
          <w:p w14:paraId="7314847F" w14:textId="23C875E1" w:rsidR="008423E4" w:rsidRPr="00861995" w:rsidRDefault="0000071E" w:rsidP="0068520C">
            <w:pPr>
              <w:jc w:val="right"/>
            </w:pPr>
            <w:r>
              <w:t>H.B. 1399</w:t>
            </w:r>
          </w:p>
        </w:tc>
      </w:tr>
      <w:tr w:rsidR="00E65A89" w14:paraId="09701E3A" w14:textId="77777777" w:rsidTr="00345119">
        <w:tc>
          <w:tcPr>
            <w:tcW w:w="9576" w:type="dxa"/>
          </w:tcPr>
          <w:p w14:paraId="3417A05F" w14:textId="44757C1F" w:rsidR="008423E4" w:rsidRPr="00861995" w:rsidRDefault="0000071E" w:rsidP="004575B5">
            <w:pPr>
              <w:jc w:val="right"/>
            </w:pPr>
            <w:r>
              <w:t xml:space="preserve">By: </w:t>
            </w:r>
            <w:r w:rsidR="004575B5">
              <w:t>Krause</w:t>
            </w:r>
          </w:p>
        </w:tc>
      </w:tr>
      <w:tr w:rsidR="00E65A89" w14:paraId="31A47ABF" w14:textId="77777777" w:rsidTr="00345119">
        <w:tc>
          <w:tcPr>
            <w:tcW w:w="9576" w:type="dxa"/>
          </w:tcPr>
          <w:p w14:paraId="2D445603" w14:textId="2E2E6F15" w:rsidR="008423E4" w:rsidRPr="00861995" w:rsidRDefault="0000071E" w:rsidP="0068520C">
            <w:pPr>
              <w:jc w:val="right"/>
            </w:pPr>
            <w:r>
              <w:t>Public Health</w:t>
            </w:r>
          </w:p>
        </w:tc>
      </w:tr>
      <w:tr w:rsidR="00E65A89" w14:paraId="0CBFFF5C" w14:textId="77777777" w:rsidTr="00345119">
        <w:tc>
          <w:tcPr>
            <w:tcW w:w="9576" w:type="dxa"/>
          </w:tcPr>
          <w:p w14:paraId="0E05BA12" w14:textId="1D2AE7ED" w:rsidR="008423E4" w:rsidRDefault="0000071E" w:rsidP="0068520C">
            <w:pPr>
              <w:jc w:val="right"/>
            </w:pPr>
            <w:r>
              <w:t>Committee Report (Unamended)</w:t>
            </w:r>
          </w:p>
        </w:tc>
      </w:tr>
    </w:tbl>
    <w:p w14:paraId="3CB43674" w14:textId="77777777" w:rsidR="008423E4" w:rsidRDefault="008423E4" w:rsidP="0068520C">
      <w:pPr>
        <w:tabs>
          <w:tab w:val="right" w:pos="9360"/>
        </w:tabs>
      </w:pPr>
    </w:p>
    <w:p w14:paraId="6899C54C" w14:textId="77777777" w:rsidR="008423E4" w:rsidRDefault="008423E4" w:rsidP="0068520C"/>
    <w:p w14:paraId="6E32E78C" w14:textId="77777777" w:rsidR="008423E4" w:rsidRDefault="008423E4" w:rsidP="0068520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65A89" w14:paraId="78496754" w14:textId="77777777" w:rsidTr="00345119">
        <w:tc>
          <w:tcPr>
            <w:tcW w:w="9576" w:type="dxa"/>
          </w:tcPr>
          <w:p w14:paraId="31E9D820" w14:textId="77777777" w:rsidR="008423E4" w:rsidRPr="00A8133F" w:rsidRDefault="0000071E" w:rsidP="0068520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3151D9C" w14:textId="77777777" w:rsidR="008423E4" w:rsidRDefault="008423E4" w:rsidP="0068520C"/>
          <w:p w14:paraId="0C1DEFA6" w14:textId="5728FFCC" w:rsidR="008423E4" w:rsidRDefault="0000071E" w:rsidP="006852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it is not appropriate for a physician to assist a minor experiencing gender dysphoria to transition their gender.</w:t>
            </w:r>
            <w:r w:rsidRPr="002E09EC">
              <w:t xml:space="preserve"> H</w:t>
            </w:r>
            <w:r>
              <w:t>.</w:t>
            </w:r>
            <w:r w:rsidRPr="002E09EC">
              <w:t>B</w:t>
            </w:r>
            <w:r>
              <w:t xml:space="preserve">. </w:t>
            </w:r>
            <w:r w:rsidRPr="002E09EC">
              <w:t xml:space="preserve">1399 </w:t>
            </w:r>
            <w:r>
              <w:t xml:space="preserve">seeks to </w:t>
            </w:r>
            <w:r w:rsidRPr="002E09EC">
              <w:t xml:space="preserve">prevent </w:t>
            </w:r>
            <w:r>
              <w:t xml:space="preserve">a </w:t>
            </w:r>
            <w:r w:rsidRPr="002E09EC">
              <w:t>physician from performing</w:t>
            </w:r>
            <w:r>
              <w:t xml:space="preserve"> a</w:t>
            </w:r>
            <w:r w:rsidRPr="002E09EC">
              <w:t xml:space="preserve"> surger</w:t>
            </w:r>
            <w:r>
              <w:t>y on</w:t>
            </w:r>
            <w:r w:rsidRPr="002E09EC">
              <w:t xml:space="preserve"> or prescribing certain medications </w:t>
            </w:r>
            <w:r>
              <w:t xml:space="preserve">to a minor </w:t>
            </w:r>
            <w:r w:rsidRPr="002E09EC">
              <w:t xml:space="preserve">for </w:t>
            </w:r>
            <w:r>
              <w:t>this</w:t>
            </w:r>
            <w:r w:rsidRPr="002E09EC">
              <w:t xml:space="preserve"> purpose</w:t>
            </w:r>
            <w:r>
              <w:t>.</w:t>
            </w:r>
          </w:p>
          <w:p w14:paraId="737F5E16" w14:textId="77777777" w:rsidR="008423E4" w:rsidRPr="00E26B13" w:rsidRDefault="008423E4" w:rsidP="0068520C">
            <w:pPr>
              <w:rPr>
                <w:b/>
              </w:rPr>
            </w:pPr>
          </w:p>
        </w:tc>
      </w:tr>
      <w:tr w:rsidR="00E65A89" w14:paraId="07D57ECE" w14:textId="77777777" w:rsidTr="00345119">
        <w:tc>
          <w:tcPr>
            <w:tcW w:w="9576" w:type="dxa"/>
          </w:tcPr>
          <w:p w14:paraId="330DECBD" w14:textId="77777777" w:rsidR="0017725B" w:rsidRDefault="0000071E" w:rsidP="006852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83FE5CD" w14:textId="77777777" w:rsidR="0017725B" w:rsidRDefault="0017725B" w:rsidP="0068520C">
            <w:pPr>
              <w:rPr>
                <w:b/>
                <w:u w:val="single"/>
              </w:rPr>
            </w:pPr>
          </w:p>
          <w:p w14:paraId="065FCCD5" w14:textId="77777777" w:rsidR="00D260BA" w:rsidRPr="00D260BA" w:rsidRDefault="0000071E" w:rsidP="0068520C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14:paraId="2441B550" w14:textId="77777777" w:rsidR="0017725B" w:rsidRPr="0017725B" w:rsidRDefault="0017725B" w:rsidP="0068520C">
            <w:pPr>
              <w:rPr>
                <w:b/>
                <w:u w:val="single"/>
              </w:rPr>
            </w:pPr>
          </w:p>
        </w:tc>
      </w:tr>
      <w:tr w:rsidR="00E65A89" w14:paraId="21D7AC34" w14:textId="77777777" w:rsidTr="00345119">
        <w:tc>
          <w:tcPr>
            <w:tcW w:w="9576" w:type="dxa"/>
          </w:tcPr>
          <w:p w14:paraId="246E55EA" w14:textId="77777777" w:rsidR="008423E4" w:rsidRPr="00A8133F" w:rsidRDefault="0000071E" w:rsidP="0068520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E2CAE0" w14:textId="77777777" w:rsidR="008423E4" w:rsidRDefault="008423E4" w:rsidP="0068520C"/>
          <w:p w14:paraId="128DB730" w14:textId="77777777" w:rsidR="00D260BA" w:rsidRDefault="0000071E" w:rsidP="006852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</w:t>
            </w:r>
            <w:r>
              <w:t>xpressly grant any additional rulemaking authority to a state officer, department, agency, or institution.</w:t>
            </w:r>
          </w:p>
          <w:p w14:paraId="61B96EAC" w14:textId="77777777" w:rsidR="008423E4" w:rsidRPr="00E21FDC" w:rsidRDefault="008423E4" w:rsidP="0068520C">
            <w:pPr>
              <w:rPr>
                <w:b/>
              </w:rPr>
            </w:pPr>
          </w:p>
        </w:tc>
      </w:tr>
      <w:tr w:rsidR="00E65A89" w14:paraId="6F2BCE76" w14:textId="77777777" w:rsidTr="00345119">
        <w:tc>
          <w:tcPr>
            <w:tcW w:w="9576" w:type="dxa"/>
          </w:tcPr>
          <w:p w14:paraId="69F61A0F" w14:textId="77777777" w:rsidR="008423E4" w:rsidRPr="00A8133F" w:rsidRDefault="0000071E" w:rsidP="0068520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152A31E" w14:textId="77777777" w:rsidR="008423E4" w:rsidRDefault="008423E4" w:rsidP="0068520C"/>
          <w:p w14:paraId="7A487E6D" w14:textId="3258388B" w:rsidR="009C36CD" w:rsidRDefault="0000071E" w:rsidP="006852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1399 amends the Health and Safety Code to prohibit a</w:t>
            </w:r>
            <w:r w:rsidR="0066199C">
              <w:t xml:space="preserve"> physician or other</w:t>
            </w:r>
            <w:r>
              <w:t xml:space="preserve"> health care provider from doing any of the following f</w:t>
            </w:r>
            <w:r w:rsidRPr="00917BC9">
              <w:t>or the purpose of transitioning</w:t>
            </w:r>
            <w:r w:rsidR="00D260BA">
              <w:t xml:space="preserve"> </w:t>
            </w:r>
            <w:r w:rsidR="00B548A4">
              <w:t xml:space="preserve">the biological sex of </w:t>
            </w:r>
            <w:r w:rsidR="00D260BA">
              <w:t>a child younger than 18 years of age</w:t>
            </w:r>
            <w:r w:rsidRPr="00917BC9">
              <w:t xml:space="preserve"> as determined by the </w:t>
            </w:r>
            <w:r>
              <w:t xml:space="preserve">child's </w:t>
            </w:r>
            <w:r w:rsidRPr="00917BC9">
              <w:t>sex organs, chromosomes, and endogenous profiles or affirming the child's perception of the</w:t>
            </w:r>
            <w:r>
              <w:t xml:space="preserve">ir </w:t>
            </w:r>
            <w:r w:rsidRPr="00917BC9">
              <w:t xml:space="preserve">sex </w:t>
            </w:r>
            <w:r>
              <w:t xml:space="preserve">that is inconsistent with their </w:t>
            </w:r>
            <w:r w:rsidRPr="00917BC9">
              <w:t>biolog</w:t>
            </w:r>
            <w:r w:rsidRPr="00917BC9">
              <w:t>ical sex</w:t>
            </w:r>
            <w:r>
              <w:t>:</w:t>
            </w:r>
          </w:p>
          <w:p w14:paraId="4A271535" w14:textId="1EE0CA53" w:rsidR="00917BC9" w:rsidRDefault="0000071E" w:rsidP="0068520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17BC9">
              <w:t>perform</w:t>
            </w:r>
            <w:r>
              <w:t>ing</w:t>
            </w:r>
            <w:r w:rsidRPr="00917BC9">
              <w:t xml:space="preserve"> a surgery that sterilizes the child</w:t>
            </w:r>
            <w:r>
              <w:t>, including specified procedures</w:t>
            </w:r>
            <w:r w:rsidR="0045424E">
              <w:t xml:space="preserve"> set out by the bill</w:t>
            </w:r>
            <w:r>
              <w:t>;</w:t>
            </w:r>
          </w:p>
          <w:p w14:paraId="58656499" w14:textId="77777777" w:rsidR="00917BC9" w:rsidRDefault="0000071E" w:rsidP="0068520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performing a mastectomy;</w:t>
            </w:r>
          </w:p>
          <w:p w14:paraId="44D13353" w14:textId="77777777" w:rsidR="00917BC9" w:rsidRDefault="0000071E" w:rsidP="0068520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providing, administering, prescribing, or dispensing certain specified prescription drugs that induce transient or perman</w:t>
            </w:r>
            <w:r>
              <w:t>ent infertility; or</w:t>
            </w:r>
          </w:p>
          <w:p w14:paraId="28AAC6A7" w14:textId="77777777" w:rsidR="00917BC9" w:rsidRDefault="0000071E" w:rsidP="0068520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17BC9">
              <w:t>remov</w:t>
            </w:r>
            <w:r>
              <w:t>ing</w:t>
            </w:r>
            <w:r w:rsidRPr="00917BC9">
              <w:t xml:space="preserve"> any otherwise healthy or non-diseased body part or tissue</w:t>
            </w:r>
            <w:r>
              <w:t>.</w:t>
            </w:r>
          </w:p>
          <w:p w14:paraId="3A93C3CB" w14:textId="77777777" w:rsidR="0066199C" w:rsidRDefault="0000071E" w:rsidP="0068520C">
            <w:pPr>
              <w:pStyle w:val="Header"/>
              <w:jc w:val="both"/>
            </w:pPr>
            <w:r>
              <w:t>That prohibition does not apply to the provision by a physician or health care provider, with the consent of the child's parent or legal guardian, of appropriate and me</w:t>
            </w:r>
            <w:r>
              <w:t xml:space="preserve">dically necessary gender transitioning or gender reassignment procedures or treatments to a child who is born with a medically verifiable genetic disorder of sex development or who does not </w:t>
            </w:r>
            <w:r w:rsidRPr="0066199C">
              <w:t>have the normal sex chromosome structure for male or female as det</w:t>
            </w:r>
            <w:r w:rsidRPr="0066199C">
              <w:t>ermined by a physician through genetic testing</w:t>
            </w:r>
            <w:r>
              <w:t>.</w:t>
            </w:r>
          </w:p>
          <w:p w14:paraId="51CB1564" w14:textId="77777777" w:rsidR="0066199C" w:rsidRDefault="0066199C" w:rsidP="0068520C">
            <w:pPr>
              <w:pStyle w:val="Header"/>
              <w:jc w:val="both"/>
            </w:pPr>
          </w:p>
          <w:p w14:paraId="77008494" w14:textId="3ED08343" w:rsidR="0066199C" w:rsidRDefault="0000071E" w:rsidP="0068520C">
            <w:pPr>
              <w:pStyle w:val="Header"/>
              <w:jc w:val="both"/>
            </w:pPr>
            <w:r>
              <w:t>H.B. 1399 amends the Insurance Code to prohibit a</w:t>
            </w:r>
            <w:r w:rsidRPr="0066199C">
              <w:t xml:space="preserve"> professional liability insurance policy issued to a physician or health care provider </w:t>
            </w:r>
            <w:r>
              <w:t xml:space="preserve">from including </w:t>
            </w:r>
            <w:r w:rsidRPr="0066199C">
              <w:t>coverage for damages assessed against the physician or h</w:t>
            </w:r>
            <w:r w:rsidRPr="0066199C">
              <w:t xml:space="preserve">ealth care provider who provides to a child </w:t>
            </w:r>
            <w:r>
              <w:t xml:space="preserve">prohibited </w:t>
            </w:r>
            <w:r w:rsidRPr="0066199C">
              <w:t>gender transitioning or gender reassi</w:t>
            </w:r>
            <w:r>
              <w:t xml:space="preserve">gnment procedures or treatments. That prohibition applies only to </w:t>
            </w:r>
            <w:r w:rsidR="00794FBE">
              <w:t xml:space="preserve">a </w:t>
            </w:r>
            <w:r w:rsidRPr="0066199C">
              <w:t>policy that is delivered, issued for delivery, or renewed on or after January 1, 2022</w:t>
            </w:r>
            <w:r>
              <w:t>.</w:t>
            </w:r>
          </w:p>
          <w:p w14:paraId="69EB0724" w14:textId="77777777" w:rsidR="0066199C" w:rsidRDefault="0066199C" w:rsidP="0068520C">
            <w:pPr>
              <w:pStyle w:val="Header"/>
              <w:jc w:val="both"/>
            </w:pPr>
          </w:p>
          <w:p w14:paraId="787DE723" w14:textId="77777777" w:rsidR="00D260BA" w:rsidRDefault="0000071E" w:rsidP="0068520C">
            <w:pPr>
              <w:pStyle w:val="Header"/>
              <w:jc w:val="both"/>
            </w:pPr>
            <w:r>
              <w:t>H.B. 139</w:t>
            </w:r>
            <w:r>
              <w:t>9 amends the Occupations Code to establish that a physician or an applicant for a medical license commits a prohibited practice that subjects the physician or applicant to license denial and disciplinary action if, for the purpose of facilitating the gende</w:t>
            </w:r>
            <w:r>
              <w:t>r transition or treating the gender dysphoria of an unemancipated minor, the physician or applicant does any of the following:</w:t>
            </w:r>
          </w:p>
          <w:p w14:paraId="11191B9C" w14:textId="77777777" w:rsidR="00D260BA" w:rsidRDefault="0000071E" w:rsidP="0068520C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provides, administers, prescribes, or dispenses a puberty suppression or blocking prescription drug or cross-sex hormone to the </w:t>
            </w:r>
            <w:r>
              <w:t>minor, including by writing a false or fictitious prescription; or</w:t>
            </w:r>
          </w:p>
          <w:p w14:paraId="0B44E6BF" w14:textId="77777777" w:rsidR="0066199C" w:rsidRPr="009C36CD" w:rsidRDefault="0000071E" w:rsidP="0068520C">
            <w:pPr>
              <w:pStyle w:val="Header"/>
              <w:numPr>
                <w:ilvl w:val="0"/>
                <w:numId w:val="2"/>
              </w:numPr>
              <w:jc w:val="both"/>
            </w:pPr>
            <w:r>
              <w:t>performs or attempts to perform a surgical intervention on the minor.</w:t>
            </w:r>
          </w:p>
          <w:p w14:paraId="5F91BFB9" w14:textId="2236DFDC" w:rsidR="008423E4" w:rsidRDefault="0000071E" w:rsidP="00E75096">
            <w:pPr>
              <w:jc w:val="both"/>
            </w:pPr>
            <w:r>
              <w:t>The bill establishes that a</w:t>
            </w:r>
            <w:r w:rsidRPr="00272DDD">
              <w:t xml:space="preserve"> </w:t>
            </w:r>
            <w:r w:rsidRPr="00E75096">
              <w:t>physician or applicant for a license to practice medicine does not commit a prohibited prac</w:t>
            </w:r>
            <w:r w:rsidRPr="00E75096">
              <w:t>tice if the physician or applicant provides a puberty suppression or blocking prescription drug to an unemancipated minor for the purpose of normalizing puberty for a minor experiencing precocious puberty</w:t>
            </w:r>
            <w:r>
              <w:t>.</w:t>
            </w:r>
          </w:p>
          <w:p w14:paraId="6D54F444" w14:textId="39C1EC44" w:rsidR="00272DDD" w:rsidRPr="00E75096" w:rsidRDefault="00272DDD" w:rsidP="00E75096">
            <w:pPr>
              <w:jc w:val="both"/>
            </w:pPr>
          </w:p>
        </w:tc>
      </w:tr>
      <w:tr w:rsidR="00E65A89" w14:paraId="3CD3874C" w14:textId="77777777" w:rsidTr="00345119">
        <w:tc>
          <w:tcPr>
            <w:tcW w:w="9576" w:type="dxa"/>
          </w:tcPr>
          <w:p w14:paraId="7E9C6526" w14:textId="77777777" w:rsidR="008423E4" w:rsidRPr="00A8133F" w:rsidRDefault="0000071E" w:rsidP="0068520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E14C61" w14:textId="77777777" w:rsidR="008423E4" w:rsidRDefault="008423E4" w:rsidP="0068520C"/>
          <w:p w14:paraId="6E3BFC87" w14:textId="77777777" w:rsidR="008423E4" w:rsidRPr="003624F2" w:rsidRDefault="0000071E" w:rsidP="006852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E53B857" w14:textId="77777777" w:rsidR="008423E4" w:rsidRPr="00233FDB" w:rsidRDefault="008423E4" w:rsidP="0068520C">
            <w:pPr>
              <w:rPr>
                <w:b/>
              </w:rPr>
            </w:pPr>
          </w:p>
        </w:tc>
      </w:tr>
    </w:tbl>
    <w:p w14:paraId="19FA3019" w14:textId="77777777" w:rsidR="008423E4" w:rsidRPr="00BE0E75" w:rsidRDefault="008423E4" w:rsidP="0068520C">
      <w:pPr>
        <w:jc w:val="both"/>
        <w:rPr>
          <w:rFonts w:ascii="Arial" w:hAnsi="Arial"/>
          <w:sz w:val="16"/>
          <w:szCs w:val="16"/>
        </w:rPr>
      </w:pPr>
    </w:p>
    <w:p w14:paraId="2E13FF7B" w14:textId="77777777" w:rsidR="004108C3" w:rsidRPr="008423E4" w:rsidRDefault="004108C3" w:rsidP="0068520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B595" w14:textId="77777777" w:rsidR="00000000" w:rsidRDefault="0000071E">
      <w:r>
        <w:separator/>
      </w:r>
    </w:p>
  </w:endnote>
  <w:endnote w:type="continuationSeparator" w:id="0">
    <w:p w14:paraId="67CF4168" w14:textId="77777777" w:rsidR="00000000" w:rsidRDefault="0000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2D4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5A89" w14:paraId="18266352" w14:textId="77777777" w:rsidTr="009C1E9A">
      <w:trPr>
        <w:cantSplit/>
      </w:trPr>
      <w:tc>
        <w:tcPr>
          <w:tcW w:w="0" w:type="pct"/>
        </w:tcPr>
        <w:p w14:paraId="0D733C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F424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3230B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82BB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5E6A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5A89" w14:paraId="5F0B7121" w14:textId="77777777" w:rsidTr="009C1E9A">
      <w:trPr>
        <w:cantSplit/>
      </w:trPr>
      <w:tc>
        <w:tcPr>
          <w:tcW w:w="0" w:type="pct"/>
        </w:tcPr>
        <w:p w14:paraId="13BCF4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F6863F" w14:textId="365F0AFF" w:rsidR="00EC379B" w:rsidRPr="009C1E9A" w:rsidRDefault="000007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22676</w:t>
          </w:r>
        </w:p>
      </w:tc>
      <w:tc>
        <w:tcPr>
          <w:tcW w:w="2453" w:type="pct"/>
        </w:tcPr>
        <w:p w14:paraId="5688F427" w14:textId="1B9B1D70" w:rsidR="00EC379B" w:rsidRDefault="000007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521BB">
            <w:t>21.115.230</w:t>
          </w:r>
          <w:r>
            <w:fldChar w:fldCharType="end"/>
          </w:r>
        </w:p>
      </w:tc>
    </w:tr>
    <w:tr w:rsidR="00E65A89" w14:paraId="060068BC" w14:textId="77777777" w:rsidTr="009C1E9A">
      <w:trPr>
        <w:cantSplit/>
      </w:trPr>
      <w:tc>
        <w:tcPr>
          <w:tcW w:w="0" w:type="pct"/>
        </w:tcPr>
        <w:p w14:paraId="54FFED9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4A4AD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226E30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E0E0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5A89" w14:paraId="6A0E2D3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8BE9A22" w14:textId="1D812FF9" w:rsidR="00EC379B" w:rsidRDefault="000007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7509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32C00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EA2D9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1AA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3C54" w14:textId="77777777" w:rsidR="00000000" w:rsidRDefault="0000071E">
      <w:r>
        <w:separator/>
      </w:r>
    </w:p>
  </w:footnote>
  <w:footnote w:type="continuationSeparator" w:id="0">
    <w:p w14:paraId="43F5F821" w14:textId="77777777" w:rsidR="00000000" w:rsidRDefault="0000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C14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955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1E5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97C"/>
    <w:multiLevelType w:val="hybridMultilevel"/>
    <w:tmpl w:val="0728D0B8"/>
    <w:lvl w:ilvl="0" w:tplc="119E5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8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AE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8D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80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66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C3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AB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08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6A4"/>
    <w:multiLevelType w:val="hybridMultilevel"/>
    <w:tmpl w:val="E2C68AF2"/>
    <w:lvl w:ilvl="0" w:tplc="B846E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84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02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2B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D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05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AA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E3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CB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C9"/>
    <w:rsid w:val="0000071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8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0C3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72C"/>
    <w:rsid w:val="00127893"/>
    <w:rsid w:val="001312BB"/>
    <w:rsid w:val="00137D90"/>
    <w:rsid w:val="00141FB6"/>
    <w:rsid w:val="00142F8E"/>
    <w:rsid w:val="00143C8B"/>
    <w:rsid w:val="00147530"/>
    <w:rsid w:val="001521BB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318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2C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DDD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9EC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438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24E"/>
    <w:rsid w:val="00455936"/>
    <w:rsid w:val="00455ACE"/>
    <w:rsid w:val="004575B5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99C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20C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658"/>
    <w:rsid w:val="00777518"/>
    <w:rsid w:val="0077779E"/>
    <w:rsid w:val="00780FB6"/>
    <w:rsid w:val="0078552A"/>
    <w:rsid w:val="00785729"/>
    <w:rsid w:val="00786058"/>
    <w:rsid w:val="0079487D"/>
    <w:rsid w:val="00794FBE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ACC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060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BC9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48A4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65E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57E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0A2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60BA"/>
    <w:rsid w:val="00D30534"/>
    <w:rsid w:val="00D35728"/>
    <w:rsid w:val="00D37BCF"/>
    <w:rsid w:val="00D40F93"/>
    <w:rsid w:val="00D42277"/>
    <w:rsid w:val="00D43C59"/>
    <w:rsid w:val="00D44ADE"/>
    <w:rsid w:val="00D50987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9B7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A89"/>
    <w:rsid w:val="00E667F3"/>
    <w:rsid w:val="00E67794"/>
    <w:rsid w:val="00E70CC6"/>
    <w:rsid w:val="00E71254"/>
    <w:rsid w:val="00E73CCD"/>
    <w:rsid w:val="00E75096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58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D1BE39-75C3-425D-9243-C584CF8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619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1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19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99C"/>
    <w:rPr>
      <w:b/>
      <w:bCs/>
    </w:rPr>
  </w:style>
  <w:style w:type="paragraph" w:styleId="Revision">
    <w:name w:val="Revision"/>
    <w:hidden/>
    <w:uiPriority w:val="99"/>
    <w:semiHidden/>
    <w:rsid w:val="00CF5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3003</Characters>
  <Application>Microsoft Office Word</Application>
  <DocSecurity>4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HB01399 (Committee Report (Unamended))</vt:lpstr>
    </vt:vector>
  </TitlesOfParts>
  <Company>State of Texas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22676</dc:subject>
  <dc:creator>State of Texas</dc:creator>
  <dc:description>HB 1399 by Krause-(H)Public Health</dc:description>
  <cp:lastModifiedBy>Thomas Weis</cp:lastModifiedBy>
  <cp:revision>2</cp:revision>
  <cp:lastPrinted>2003-11-26T17:21:00Z</cp:lastPrinted>
  <dcterms:created xsi:type="dcterms:W3CDTF">2021-04-27T13:49:00Z</dcterms:created>
  <dcterms:modified xsi:type="dcterms:W3CDTF">2021-04-27T13:49:00Z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21.115.230</vt:lpwstr>
  </property>
</Properties>
</file>